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54B" w:rsidRPr="0082754B" w:rsidRDefault="00AD2D6A" w:rsidP="0082754B">
      <w:pPr>
        <w:jc w:val="center"/>
        <w:rPr>
          <w:b/>
          <w:bCs/>
          <w:sz w:val="28"/>
          <w:szCs w:val="28"/>
        </w:rPr>
      </w:pPr>
      <w:r w:rsidRPr="0082754B">
        <w:rPr>
          <w:rFonts w:ascii="Arial" w:hAnsi="Arial" w:cs="Arial"/>
          <w:b/>
          <w:bCs/>
        </w:rPr>
        <w:t>Greater Manchester</w:t>
      </w:r>
      <w:r w:rsidR="0082754B" w:rsidRPr="0082754B">
        <w:rPr>
          <w:b/>
          <w:bCs/>
          <w:sz w:val="28"/>
          <w:szCs w:val="28"/>
        </w:rPr>
        <w:t xml:space="preserve"> GP Incentive Scheme: </w:t>
      </w:r>
    </w:p>
    <w:p w:rsidR="005E0A14" w:rsidRPr="0082754B" w:rsidRDefault="00AD2D6A" w:rsidP="0082754B">
      <w:pPr>
        <w:jc w:val="center"/>
        <w:rPr>
          <w:rFonts w:ascii="Arial" w:hAnsi="Arial" w:cs="Arial"/>
          <w:b/>
          <w:bCs/>
        </w:rPr>
      </w:pPr>
      <w:r w:rsidRPr="0082754B">
        <w:rPr>
          <w:rFonts w:ascii="Arial" w:hAnsi="Arial" w:cs="Arial"/>
          <w:b/>
          <w:bCs/>
        </w:rPr>
        <w:t xml:space="preserve"> </w:t>
      </w:r>
      <w:r w:rsidR="005E0A14" w:rsidRPr="0082754B">
        <w:rPr>
          <w:rFonts w:ascii="Arial" w:hAnsi="Arial" w:cs="Arial"/>
          <w:b/>
          <w:bCs/>
        </w:rPr>
        <w:t>Shared Care of Medicines Forerunner Scheme</w:t>
      </w:r>
      <w:r w:rsidR="0082754B" w:rsidRPr="0082754B">
        <w:rPr>
          <w:rFonts w:ascii="Arial" w:hAnsi="Arial" w:cs="Arial"/>
          <w:b/>
          <w:bCs/>
        </w:rPr>
        <w:t xml:space="preserve"> </w:t>
      </w:r>
      <w:r w:rsidR="005E0A14" w:rsidRPr="0082754B">
        <w:rPr>
          <w:rFonts w:ascii="Arial" w:hAnsi="Arial" w:cs="Arial"/>
          <w:b/>
          <w:bCs/>
        </w:rPr>
        <w:t>2025 – 2026</w:t>
      </w:r>
    </w:p>
    <w:p w:rsidR="000B4744" w:rsidRPr="0082754B" w:rsidRDefault="008C73CC" w:rsidP="005E0A14">
      <w:pPr>
        <w:jc w:val="center"/>
        <w:rPr>
          <w:rFonts w:ascii="Arial" w:hAnsi="Arial" w:cs="Arial"/>
          <w:b/>
          <w:bCs/>
        </w:rPr>
      </w:pPr>
      <w:r w:rsidRPr="0082754B">
        <w:rPr>
          <w:rFonts w:ascii="Arial" w:hAnsi="Arial" w:cs="Arial"/>
          <w:b/>
          <w:bCs/>
        </w:rPr>
        <w:t>V1.</w:t>
      </w:r>
      <w:r w:rsidR="00460E61">
        <w:rPr>
          <w:rFonts w:ascii="Arial" w:hAnsi="Arial" w:cs="Arial"/>
          <w:b/>
          <w:bCs/>
        </w:rPr>
        <w:t>2</w:t>
      </w:r>
    </w:p>
    <w:p w:rsidR="005E0A14" w:rsidRDefault="005E0A14" w:rsidP="005E0A14">
      <w:pPr>
        <w:jc w:val="center"/>
        <w:rPr>
          <w:rFonts w:ascii="Arial" w:hAnsi="Arial" w:cs="Arial"/>
          <w:b/>
          <w:bCs/>
          <w:u w:val="single"/>
        </w:rPr>
      </w:pPr>
    </w:p>
    <w:p w:rsidR="0082754B" w:rsidRPr="003A0F2E" w:rsidRDefault="0082754B" w:rsidP="005E0A14">
      <w:pPr>
        <w:jc w:val="center"/>
        <w:rPr>
          <w:rFonts w:ascii="Arial" w:hAnsi="Arial" w:cs="Arial"/>
          <w:b/>
          <w:bCs/>
          <w:u w:val="single"/>
        </w:rPr>
      </w:pPr>
    </w:p>
    <w:p w:rsidR="005E0A14" w:rsidRDefault="005E0A14" w:rsidP="005E0A14">
      <w:pPr>
        <w:rPr>
          <w:rFonts w:ascii="Arial" w:hAnsi="Arial" w:cs="Arial"/>
          <w:b/>
          <w:bCs/>
          <w:u w:val="single"/>
        </w:rPr>
      </w:pPr>
      <w:r w:rsidRPr="003A0F2E">
        <w:rPr>
          <w:rFonts w:ascii="Arial" w:hAnsi="Arial" w:cs="Arial"/>
          <w:b/>
          <w:bCs/>
          <w:u w:val="single"/>
        </w:rPr>
        <w:t>Background</w:t>
      </w:r>
    </w:p>
    <w:p w:rsidR="0082754B" w:rsidRPr="003A0F2E" w:rsidRDefault="0082754B" w:rsidP="005E0A14">
      <w:pPr>
        <w:rPr>
          <w:rFonts w:ascii="Arial" w:hAnsi="Arial" w:cs="Arial"/>
          <w:b/>
          <w:bCs/>
          <w:u w:val="single"/>
        </w:rPr>
      </w:pPr>
    </w:p>
    <w:p w:rsidR="005E0A14" w:rsidRPr="003A0F2E" w:rsidRDefault="005E0A14" w:rsidP="005E0A14">
      <w:pPr>
        <w:rPr>
          <w:rFonts w:ascii="Arial" w:hAnsi="Arial" w:cs="Arial"/>
        </w:rPr>
      </w:pPr>
      <w:r w:rsidRPr="003A0F2E">
        <w:rPr>
          <w:rFonts w:ascii="Arial" w:hAnsi="Arial" w:cs="Arial"/>
        </w:rPr>
        <w:t>Shared care of medicines</w:t>
      </w:r>
      <w:r w:rsidR="008308D9" w:rsidRPr="003A0F2E">
        <w:rPr>
          <w:rFonts w:ascii="Arial" w:hAnsi="Arial" w:cs="Arial"/>
        </w:rPr>
        <w:t xml:space="preserve"> (SCOM)</w:t>
      </w:r>
      <w:r w:rsidRPr="003A0F2E">
        <w:rPr>
          <w:rFonts w:ascii="Arial" w:hAnsi="Arial" w:cs="Arial"/>
        </w:rPr>
        <w:t xml:space="preserve"> is a nationally recognised </w:t>
      </w:r>
      <w:r w:rsidR="00496171" w:rsidRPr="003A0F2E">
        <w:rPr>
          <w:rFonts w:ascii="Arial" w:hAnsi="Arial" w:cs="Arial"/>
        </w:rPr>
        <w:t>pathway to enable seamless prescribing and monitoring of</w:t>
      </w:r>
      <w:r w:rsidR="00AB789E" w:rsidRPr="003A0F2E">
        <w:rPr>
          <w:rFonts w:ascii="Arial" w:hAnsi="Arial" w:cs="Arial"/>
        </w:rPr>
        <w:t xml:space="preserve"> higher risk medicines</w:t>
      </w:r>
      <w:r w:rsidR="006F1779" w:rsidRPr="003A0F2E">
        <w:rPr>
          <w:rFonts w:ascii="Arial" w:hAnsi="Arial" w:cs="Arial"/>
        </w:rPr>
        <w:t xml:space="preserve"> and</w:t>
      </w:r>
      <w:r w:rsidR="00AB789E" w:rsidRPr="003A0F2E">
        <w:rPr>
          <w:rFonts w:ascii="Arial" w:hAnsi="Arial" w:cs="Arial"/>
        </w:rPr>
        <w:t xml:space="preserve"> allowing</w:t>
      </w:r>
      <w:r w:rsidR="00496171" w:rsidRPr="003A0F2E">
        <w:rPr>
          <w:rFonts w:ascii="Arial" w:hAnsi="Arial" w:cs="Arial"/>
        </w:rPr>
        <w:t xml:space="preserve"> patients </w:t>
      </w:r>
      <w:r w:rsidR="008308D9" w:rsidRPr="003A0F2E">
        <w:rPr>
          <w:rFonts w:ascii="Arial" w:hAnsi="Arial" w:cs="Arial"/>
        </w:rPr>
        <w:t>to</w:t>
      </w:r>
      <w:r w:rsidR="00496171" w:rsidRPr="003A0F2E">
        <w:rPr>
          <w:rFonts w:ascii="Arial" w:hAnsi="Arial" w:cs="Arial"/>
        </w:rPr>
        <w:t xml:space="preserve"> receive care closer to home in an integrated and convenient manner.  </w:t>
      </w:r>
    </w:p>
    <w:p w:rsidR="00814271" w:rsidRPr="003A0F2E" w:rsidRDefault="00814271" w:rsidP="005E0A14">
      <w:pPr>
        <w:rPr>
          <w:rFonts w:ascii="Arial" w:hAnsi="Arial" w:cs="Arial"/>
        </w:rPr>
      </w:pPr>
    </w:p>
    <w:p w:rsidR="00E25D94" w:rsidRPr="003A0F2E" w:rsidRDefault="00706AC8" w:rsidP="005E0A14">
      <w:pPr>
        <w:rPr>
          <w:rFonts w:ascii="Arial" w:hAnsi="Arial" w:cs="Arial"/>
        </w:rPr>
      </w:pPr>
      <w:hyperlink r:id="rId8" w:history="1">
        <w:r w:rsidRPr="003A0F2E">
          <w:rPr>
            <w:rStyle w:val="Hyperlink"/>
            <w:rFonts w:ascii="Arial" w:hAnsi="Arial" w:cs="Arial"/>
          </w:rPr>
          <w:t>NHS England</w:t>
        </w:r>
      </w:hyperlink>
      <w:r w:rsidRPr="003A0F2E">
        <w:rPr>
          <w:rFonts w:ascii="Arial" w:hAnsi="Arial" w:cs="Arial"/>
        </w:rPr>
        <w:t xml:space="preserve"> describes s</w:t>
      </w:r>
      <w:r w:rsidR="00496171" w:rsidRPr="003A0F2E">
        <w:rPr>
          <w:rFonts w:ascii="Arial" w:hAnsi="Arial" w:cs="Arial"/>
        </w:rPr>
        <w:t>hared care</w:t>
      </w:r>
      <w:r w:rsidRPr="003A0F2E">
        <w:rPr>
          <w:rFonts w:ascii="Arial" w:hAnsi="Arial" w:cs="Arial"/>
        </w:rPr>
        <w:t xml:space="preserve"> as</w:t>
      </w:r>
      <w:r w:rsidR="00496171" w:rsidRPr="003A0F2E">
        <w:rPr>
          <w:rFonts w:ascii="Arial" w:hAnsi="Arial" w:cs="Arial"/>
        </w:rPr>
        <w:t xml:space="preserve"> allow</w:t>
      </w:r>
      <w:r w:rsidRPr="003A0F2E">
        <w:rPr>
          <w:rFonts w:ascii="Arial" w:hAnsi="Arial" w:cs="Arial"/>
        </w:rPr>
        <w:t>ing</w:t>
      </w:r>
      <w:r w:rsidR="00496171" w:rsidRPr="003A0F2E">
        <w:rPr>
          <w:rFonts w:ascii="Arial" w:hAnsi="Arial" w:cs="Arial"/>
        </w:rPr>
        <w:t xml:space="preserve"> clinical responsibility to move from a hospital or specialist service to general </w:t>
      </w:r>
      <w:r w:rsidR="008308D9" w:rsidRPr="003A0F2E">
        <w:rPr>
          <w:rFonts w:ascii="Arial" w:hAnsi="Arial" w:cs="Arial"/>
        </w:rPr>
        <w:t xml:space="preserve">practice </w:t>
      </w:r>
      <w:r w:rsidR="00764AED" w:rsidRPr="003A0F2E">
        <w:rPr>
          <w:rFonts w:ascii="Arial" w:hAnsi="Arial" w:cs="Arial"/>
        </w:rPr>
        <w:t>through</w:t>
      </w:r>
      <w:r w:rsidR="008308D9" w:rsidRPr="003A0F2E">
        <w:rPr>
          <w:rFonts w:ascii="Arial" w:hAnsi="Arial" w:cs="Arial"/>
        </w:rPr>
        <w:t xml:space="preserve"> a shared care agreement (SCA)</w:t>
      </w:r>
      <w:r w:rsidR="00D81DC5" w:rsidRPr="003A0F2E">
        <w:rPr>
          <w:rFonts w:ascii="Arial" w:hAnsi="Arial" w:cs="Arial"/>
        </w:rPr>
        <w:t>,</w:t>
      </w:r>
      <w:r w:rsidR="000654AE" w:rsidRPr="003A0F2E">
        <w:rPr>
          <w:rFonts w:ascii="Arial" w:hAnsi="Arial" w:cs="Arial"/>
        </w:rPr>
        <w:t xml:space="preserve"> only</w:t>
      </w:r>
      <w:r w:rsidR="008308D9" w:rsidRPr="003A0F2E">
        <w:rPr>
          <w:rFonts w:ascii="Arial" w:hAnsi="Arial" w:cs="Arial"/>
        </w:rPr>
        <w:t xml:space="preserve"> </w:t>
      </w:r>
      <w:r w:rsidR="000654AE" w:rsidRPr="003A0F2E">
        <w:rPr>
          <w:rFonts w:ascii="Arial" w:hAnsi="Arial" w:cs="Arial"/>
        </w:rPr>
        <w:t>w</w:t>
      </w:r>
      <w:r w:rsidR="008308D9" w:rsidRPr="003A0F2E">
        <w:rPr>
          <w:rFonts w:ascii="Arial" w:hAnsi="Arial" w:cs="Arial"/>
        </w:rPr>
        <w:t xml:space="preserve">hen the specialist considers a patient’s clinical condition </w:t>
      </w:r>
      <w:r w:rsidR="00E25D94" w:rsidRPr="003A0F2E">
        <w:rPr>
          <w:rFonts w:ascii="Arial" w:hAnsi="Arial" w:cs="Arial"/>
        </w:rPr>
        <w:t xml:space="preserve">and treatment </w:t>
      </w:r>
      <w:r w:rsidR="008308D9" w:rsidRPr="003A0F2E">
        <w:rPr>
          <w:rFonts w:ascii="Arial" w:hAnsi="Arial" w:cs="Arial"/>
        </w:rPr>
        <w:t>to be stable and predictable</w:t>
      </w:r>
      <w:r w:rsidR="000654AE" w:rsidRPr="003A0F2E">
        <w:rPr>
          <w:rFonts w:ascii="Arial" w:hAnsi="Arial" w:cs="Arial"/>
        </w:rPr>
        <w:t xml:space="preserve">. </w:t>
      </w:r>
      <w:r w:rsidR="00E25D94" w:rsidRPr="003A0F2E">
        <w:rPr>
          <w:rFonts w:ascii="Arial" w:hAnsi="Arial" w:cs="Arial"/>
        </w:rPr>
        <w:t xml:space="preserve">In proposing a SCA it is the specialist’s responsibility to provide information </w:t>
      </w:r>
      <w:r w:rsidR="000654AE" w:rsidRPr="003A0F2E">
        <w:rPr>
          <w:rFonts w:ascii="Arial" w:hAnsi="Arial" w:cs="Arial"/>
        </w:rPr>
        <w:t xml:space="preserve">to the GP practice </w:t>
      </w:r>
      <w:r w:rsidR="00E25D94" w:rsidRPr="003A0F2E">
        <w:rPr>
          <w:rFonts w:ascii="Arial" w:hAnsi="Arial" w:cs="Arial"/>
        </w:rPr>
        <w:t xml:space="preserve">which describes the medicine to prescribe, monitoring requirements in primary care, how often the medicine or clinical condition requires a review and what actions should be taken in the event of difficulties. </w:t>
      </w:r>
    </w:p>
    <w:p w:rsidR="00E25D94" w:rsidRPr="003A0F2E" w:rsidRDefault="00E25D94" w:rsidP="005E0A14">
      <w:pPr>
        <w:rPr>
          <w:rFonts w:ascii="Arial" w:hAnsi="Arial" w:cs="Arial"/>
        </w:rPr>
      </w:pPr>
    </w:p>
    <w:p w:rsidR="00AB789E" w:rsidRPr="003A0F2E" w:rsidRDefault="00764AED" w:rsidP="005E0A14">
      <w:pPr>
        <w:rPr>
          <w:rFonts w:ascii="Arial" w:hAnsi="Arial" w:cs="Arial"/>
          <w:b/>
          <w:bCs/>
          <w:u w:val="single"/>
        </w:rPr>
      </w:pPr>
      <w:r w:rsidRPr="003A0F2E">
        <w:rPr>
          <w:rFonts w:ascii="Arial" w:hAnsi="Arial" w:cs="Arial"/>
        </w:rPr>
        <w:t>Medicines and conditions suitable for shared care</w:t>
      </w:r>
      <w:r w:rsidR="00AB789E" w:rsidRPr="003A0F2E">
        <w:rPr>
          <w:rFonts w:ascii="Arial" w:hAnsi="Arial" w:cs="Arial"/>
        </w:rPr>
        <w:t xml:space="preserve"> </w:t>
      </w:r>
      <w:r w:rsidR="00706AC8" w:rsidRPr="003A0F2E">
        <w:rPr>
          <w:rFonts w:ascii="Arial" w:hAnsi="Arial" w:cs="Arial"/>
        </w:rPr>
        <w:t xml:space="preserve">in Greater Manchester </w:t>
      </w:r>
      <w:r w:rsidRPr="003A0F2E">
        <w:rPr>
          <w:rFonts w:ascii="Arial" w:hAnsi="Arial" w:cs="Arial"/>
        </w:rPr>
        <w:t xml:space="preserve">are determined by </w:t>
      </w:r>
      <w:hyperlink r:id="rId9" w:history="1">
        <w:r w:rsidRPr="003A0F2E">
          <w:rPr>
            <w:rStyle w:val="Hyperlink"/>
            <w:rFonts w:ascii="Arial" w:hAnsi="Arial" w:cs="Arial"/>
          </w:rPr>
          <w:t>Greater Manchester Medicines Management Group (GMMMG)</w:t>
        </w:r>
      </w:hyperlink>
      <w:r w:rsidR="00AD2D6A" w:rsidRPr="003A0F2E">
        <w:rPr>
          <w:rFonts w:ascii="Arial" w:hAnsi="Arial" w:cs="Arial"/>
        </w:rPr>
        <w:t xml:space="preserve"> which is represented by clinical and commissioning leaders from across GM, including primary</w:t>
      </w:r>
      <w:r w:rsidR="00E25D94" w:rsidRPr="003A0F2E">
        <w:rPr>
          <w:rFonts w:ascii="Arial" w:hAnsi="Arial" w:cs="Arial"/>
        </w:rPr>
        <w:t xml:space="preserve"> care</w:t>
      </w:r>
      <w:r w:rsidR="00AD2D6A" w:rsidRPr="003A0F2E">
        <w:rPr>
          <w:rFonts w:ascii="Arial" w:hAnsi="Arial" w:cs="Arial"/>
        </w:rPr>
        <w:t xml:space="preserve"> and secondary care. </w:t>
      </w:r>
      <w:r w:rsidR="00E25D94" w:rsidRPr="003A0F2E">
        <w:rPr>
          <w:rFonts w:ascii="Arial" w:hAnsi="Arial" w:cs="Arial"/>
        </w:rPr>
        <w:t>GMMMG’s SCA</w:t>
      </w:r>
      <w:r w:rsidR="00174B62" w:rsidRPr="003A0F2E">
        <w:rPr>
          <w:rFonts w:ascii="Arial" w:hAnsi="Arial" w:cs="Arial"/>
        </w:rPr>
        <w:t>s</w:t>
      </w:r>
      <w:r w:rsidR="00E25D94" w:rsidRPr="003A0F2E">
        <w:rPr>
          <w:rFonts w:ascii="Arial" w:hAnsi="Arial" w:cs="Arial"/>
        </w:rPr>
        <w:t xml:space="preserve"> </w:t>
      </w:r>
      <w:r w:rsidR="00174B62" w:rsidRPr="003A0F2E">
        <w:rPr>
          <w:rFonts w:ascii="Arial" w:hAnsi="Arial" w:cs="Arial"/>
        </w:rPr>
        <w:t>are</w:t>
      </w:r>
      <w:r w:rsidR="00E25D94" w:rsidRPr="003A0F2E">
        <w:rPr>
          <w:rFonts w:ascii="Arial" w:hAnsi="Arial" w:cs="Arial"/>
        </w:rPr>
        <w:t xml:space="preserve"> set out in the form of a shared care protocol </w:t>
      </w:r>
      <w:r w:rsidR="00174B62" w:rsidRPr="003A0F2E">
        <w:rPr>
          <w:rFonts w:ascii="Arial" w:hAnsi="Arial" w:cs="Arial"/>
        </w:rPr>
        <w:t xml:space="preserve">(SCP) </w:t>
      </w:r>
      <w:r w:rsidR="00E25D94" w:rsidRPr="003A0F2E">
        <w:rPr>
          <w:rFonts w:ascii="Arial" w:hAnsi="Arial" w:cs="Arial"/>
        </w:rPr>
        <w:t xml:space="preserve">which provides detailed information </w:t>
      </w:r>
      <w:r w:rsidR="007E47F3" w:rsidRPr="003A0F2E">
        <w:rPr>
          <w:rFonts w:ascii="Arial" w:hAnsi="Arial" w:cs="Arial"/>
        </w:rPr>
        <w:t>on</w:t>
      </w:r>
      <w:r w:rsidR="00E25D94" w:rsidRPr="003A0F2E">
        <w:rPr>
          <w:rFonts w:ascii="Arial" w:hAnsi="Arial" w:cs="Arial"/>
        </w:rPr>
        <w:t xml:space="preserve"> </w:t>
      </w:r>
      <w:r w:rsidR="007E47F3" w:rsidRPr="003A0F2E">
        <w:rPr>
          <w:rFonts w:ascii="Arial" w:hAnsi="Arial" w:cs="Arial"/>
        </w:rPr>
        <w:t>the</w:t>
      </w:r>
      <w:r w:rsidR="00E25D94" w:rsidRPr="003A0F2E">
        <w:rPr>
          <w:rFonts w:ascii="Arial" w:hAnsi="Arial" w:cs="Arial"/>
        </w:rPr>
        <w:t xml:space="preserve"> requirements expected in both primary and secondary care to manage and appropriately share the care of the medicine and the clinical condition. </w:t>
      </w:r>
      <w:r w:rsidR="00174B62" w:rsidRPr="003A0F2E">
        <w:rPr>
          <w:rFonts w:ascii="Arial" w:hAnsi="Arial" w:cs="Arial"/>
        </w:rPr>
        <w:t>The pathway for shared care</w:t>
      </w:r>
      <w:r w:rsidR="0035548A" w:rsidRPr="003A0F2E">
        <w:rPr>
          <w:rFonts w:ascii="Arial" w:hAnsi="Arial" w:cs="Arial"/>
        </w:rPr>
        <w:t xml:space="preserve"> arrangements</w:t>
      </w:r>
      <w:r w:rsidR="00174B62" w:rsidRPr="003A0F2E">
        <w:rPr>
          <w:rFonts w:ascii="Arial" w:hAnsi="Arial" w:cs="Arial"/>
        </w:rPr>
        <w:t xml:space="preserve"> is set out in the </w:t>
      </w:r>
      <w:hyperlink r:id="rId10" w:history="1">
        <w:r w:rsidR="00174B62" w:rsidRPr="003A0F2E">
          <w:rPr>
            <w:rStyle w:val="Hyperlink"/>
            <w:rFonts w:ascii="Arial" w:hAnsi="Arial" w:cs="Arial"/>
          </w:rPr>
          <w:t>Guidance on Transfer of Prescribing Responsibilities</w:t>
        </w:r>
      </w:hyperlink>
      <w:r w:rsidR="00174B62" w:rsidRPr="003A0F2E">
        <w:rPr>
          <w:rFonts w:ascii="Arial" w:hAnsi="Arial" w:cs="Arial"/>
        </w:rPr>
        <w:t>.</w:t>
      </w:r>
    </w:p>
    <w:p w:rsidR="00AB789E" w:rsidRPr="003A0F2E" w:rsidRDefault="00AB789E" w:rsidP="005E0A14">
      <w:pPr>
        <w:rPr>
          <w:rFonts w:ascii="Arial" w:hAnsi="Arial" w:cs="Arial"/>
          <w:b/>
          <w:bCs/>
          <w:u w:val="single"/>
        </w:rPr>
      </w:pPr>
    </w:p>
    <w:p w:rsidR="00AB789E" w:rsidRPr="003A0F2E" w:rsidRDefault="00AB789E" w:rsidP="005E0A14">
      <w:pPr>
        <w:rPr>
          <w:rFonts w:ascii="Arial" w:hAnsi="Arial" w:cs="Arial"/>
        </w:rPr>
      </w:pPr>
      <w:r w:rsidRPr="003A0F2E">
        <w:rPr>
          <w:rFonts w:ascii="Arial" w:hAnsi="Arial" w:cs="Arial"/>
        </w:rPr>
        <w:t xml:space="preserve">SCPs play a key role in enabling primary care prescribers to prescribe medicines </w:t>
      </w:r>
      <w:r w:rsidR="006771CC" w:rsidRPr="003A0F2E">
        <w:rPr>
          <w:rFonts w:ascii="Arial" w:hAnsi="Arial" w:cs="Arial"/>
        </w:rPr>
        <w:t xml:space="preserve">for complex conditions </w:t>
      </w:r>
      <w:r w:rsidR="00805463" w:rsidRPr="003A0F2E">
        <w:rPr>
          <w:rFonts w:ascii="Arial" w:hAnsi="Arial" w:cs="Arial"/>
        </w:rPr>
        <w:t xml:space="preserve">and/or medications </w:t>
      </w:r>
      <w:r w:rsidR="006771CC" w:rsidRPr="003A0F2E">
        <w:rPr>
          <w:rFonts w:ascii="Arial" w:hAnsi="Arial" w:cs="Arial"/>
        </w:rPr>
        <w:t xml:space="preserve">that require close monitoring and review on initiation. </w:t>
      </w:r>
      <w:r w:rsidR="00805463" w:rsidRPr="003A0F2E">
        <w:rPr>
          <w:rFonts w:ascii="Arial" w:hAnsi="Arial" w:cs="Arial"/>
        </w:rPr>
        <w:t>Reasons for GPs to decline</w:t>
      </w:r>
      <w:r w:rsidR="006771CC" w:rsidRPr="003A0F2E">
        <w:rPr>
          <w:rFonts w:ascii="Arial" w:hAnsi="Arial" w:cs="Arial"/>
        </w:rPr>
        <w:t xml:space="preserve"> </w:t>
      </w:r>
      <w:r w:rsidR="00805463" w:rsidRPr="003A0F2E">
        <w:rPr>
          <w:rFonts w:ascii="Arial" w:hAnsi="Arial" w:cs="Arial"/>
        </w:rPr>
        <w:t xml:space="preserve">include concerns regarding safety and quality of shared care pathways and </w:t>
      </w:r>
      <w:r w:rsidR="006771CC" w:rsidRPr="003A0F2E">
        <w:rPr>
          <w:rFonts w:ascii="Arial" w:hAnsi="Arial" w:cs="Arial"/>
        </w:rPr>
        <w:t>f</w:t>
      </w:r>
      <w:r w:rsidRPr="003A0F2E">
        <w:rPr>
          <w:rFonts w:ascii="Arial" w:hAnsi="Arial" w:cs="Arial"/>
        </w:rPr>
        <w:t>ailure to provide sufficient information to participate in a shared care agreement</w:t>
      </w:r>
      <w:r w:rsidR="00805463" w:rsidRPr="003A0F2E">
        <w:rPr>
          <w:rFonts w:ascii="Arial" w:hAnsi="Arial" w:cs="Arial"/>
        </w:rPr>
        <w:t>.</w:t>
      </w:r>
      <w:r w:rsidRPr="003A0F2E">
        <w:rPr>
          <w:rFonts w:ascii="Arial" w:hAnsi="Arial" w:cs="Arial"/>
        </w:rPr>
        <w:t xml:space="preserve"> </w:t>
      </w:r>
    </w:p>
    <w:p w:rsidR="00E25D94" w:rsidRPr="003A0F2E" w:rsidRDefault="00E25D94" w:rsidP="005E0A14">
      <w:pPr>
        <w:rPr>
          <w:rFonts w:ascii="Arial" w:hAnsi="Arial" w:cs="Arial"/>
          <w:b/>
          <w:bCs/>
          <w:u w:val="single"/>
        </w:rPr>
      </w:pPr>
    </w:p>
    <w:p w:rsidR="00AB789E" w:rsidRPr="003A0F2E" w:rsidRDefault="00AB789E" w:rsidP="005E0A14">
      <w:pPr>
        <w:rPr>
          <w:rFonts w:ascii="Arial" w:hAnsi="Arial" w:cs="Arial"/>
          <w:b/>
          <w:bCs/>
          <w:u w:val="single"/>
        </w:rPr>
      </w:pPr>
      <w:r w:rsidRPr="003A0F2E">
        <w:rPr>
          <w:rFonts w:ascii="Arial" w:hAnsi="Arial" w:cs="Arial"/>
          <w:b/>
          <w:bCs/>
          <w:u w:val="single"/>
        </w:rPr>
        <w:t xml:space="preserve">The </w:t>
      </w:r>
      <w:r w:rsidR="00B80112" w:rsidRPr="003A0F2E">
        <w:rPr>
          <w:rFonts w:ascii="Arial" w:hAnsi="Arial" w:cs="Arial"/>
          <w:b/>
          <w:bCs/>
          <w:u w:val="single"/>
        </w:rPr>
        <w:t>GM</w:t>
      </w:r>
      <w:r w:rsidRPr="003A0F2E">
        <w:rPr>
          <w:rFonts w:ascii="Arial" w:hAnsi="Arial" w:cs="Arial"/>
          <w:b/>
          <w:bCs/>
          <w:u w:val="single"/>
        </w:rPr>
        <w:t xml:space="preserve"> </w:t>
      </w:r>
      <w:r w:rsidR="0035548A" w:rsidRPr="003A0F2E">
        <w:rPr>
          <w:rFonts w:ascii="Arial" w:hAnsi="Arial" w:cs="Arial"/>
          <w:b/>
          <w:bCs/>
          <w:u w:val="single"/>
        </w:rPr>
        <w:t>SCOM</w:t>
      </w:r>
      <w:r w:rsidRPr="003A0F2E">
        <w:rPr>
          <w:rFonts w:ascii="Arial" w:hAnsi="Arial" w:cs="Arial"/>
          <w:b/>
          <w:bCs/>
          <w:u w:val="single"/>
        </w:rPr>
        <w:t xml:space="preserve"> Programme</w:t>
      </w:r>
    </w:p>
    <w:p w:rsidR="00252C43" w:rsidRPr="003A0F2E" w:rsidRDefault="00174B62" w:rsidP="005E0A14">
      <w:pPr>
        <w:rPr>
          <w:rFonts w:ascii="Arial" w:hAnsi="Arial" w:cs="Arial"/>
        </w:rPr>
      </w:pPr>
      <w:r w:rsidRPr="003A0F2E">
        <w:rPr>
          <w:rFonts w:ascii="Arial" w:hAnsi="Arial" w:cs="Arial"/>
        </w:rPr>
        <w:t xml:space="preserve">The </w:t>
      </w:r>
      <w:r w:rsidR="0035548A" w:rsidRPr="003A0F2E">
        <w:rPr>
          <w:rFonts w:ascii="Arial" w:hAnsi="Arial" w:cs="Arial"/>
        </w:rPr>
        <w:t>SCOM</w:t>
      </w:r>
      <w:r w:rsidRPr="003A0F2E">
        <w:rPr>
          <w:rFonts w:ascii="Arial" w:hAnsi="Arial" w:cs="Arial"/>
        </w:rPr>
        <w:t xml:space="preserve"> Programme </w:t>
      </w:r>
      <w:r w:rsidR="006519BF" w:rsidRPr="003A0F2E">
        <w:rPr>
          <w:rFonts w:ascii="Arial" w:hAnsi="Arial" w:cs="Arial"/>
        </w:rPr>
        <w:t>aims</w:t>
      </w:r>
      <w:r w:rsidR="00252C43" w:rsidRPr="003A0F2E">
        <w:rPr>
          <w:rFonts w:ascii="Arial" w:hAnsi="Arial" w:cs="Arial"/>
        </w:rPr>
        <w:t xml:space="preserve"> to address the long-standing issues faced </w:t>
      </w:r>
      <w:r w:rsidR="008B244C" w:rsidRPr="003A0F2E">
        <w:rPr>
          <w:rFonts w:ascii="Arial" w:hAnsi="Arial" w:cs="Arial"/>
        </w:rPr>
        <w:t>with</w:t>
      </w:r>
      <w:r w:rsidR="00252C43" w:rsidRPr="003A0F2E">
        <w:rPr>
          <w:rFonts w:ascii="Arial" w:hAnsi="Arial" w:cs="Arial"/>
        </w:rPr>
        <w:t xml:space="preserve"> </w:t>
      </w:r>
      <w:r w:rsidR="00F50D09" w:rsidRPr="003A0F2E">
        <w:rPr>
          <w:rFonts w:ascii="Arial" w:hAnsi="Arial" w:cs="Arial"/>
        </w:rPr>
        <w:t>SCOM</w:t>
      </w:r>
      <w:r w:rsidR="00252C43" w:rsidRPr="003A0F2E">
        <w:rPr>
          <w:rFonts w:ascii="Arial" w:hAnsi="Arial" w:cs="Arial"/>
        </w:rPr>
        <w:t xml:space="preserve"> pathway</w:t>
      </w:r>
      <w:r w:rsidR="008B244C" w:rsidRPr="003A0F2E">
        <w:rPr>
          <w:rFonts w:ascii="Arial" w:hAnsi="Arial" w:cs="Arial"/>
        </w:rPr>
        <w:t>s</w:t>
      </w:r>
      <w:r w:rsidR="007E47F3" w:rsidRPr="003A0F2E">
        <w:rPr>
          <w:rFonts w:ascii="Arial" w:hAnsi="Arial" w:cs="Arial"/>
        </w:rPr>
        <w:t xml:space="preserve"> </w:t>
      </w:r>
      <w:r w:rsidR="008B244C" w:rsidRPr="003A0F2E">
        <w:rPr>
          <w:rFonts w:ascii="Arial" w:hAnsi="Arial" w:cs="Arial"/>
        </w:rPr>
        <w:t>through a quality improvement (QI) approach</w:t>
      </w:r>
      <w:r w:rsidR="00252C43" w:rsidRPr="003A0F2E">
        <w:rPr>
          <w:rFonts w:ascii="Arial" w:hAnsi="Arial" w:cs="Arial"/>
        </w:rPr>
        <w:t>, and</w:t>
      </w:r>
      <w:r w:rsidR="007E47F3" w:rsidRPr="003A0F2E">
        <w:rPr>
          <w:rFonts w:ascii="Arial" w:hAnsi="Arial" w:cs="Arial"/>
        </w:rPr>
        <w:t xml:space="preserve"> in turn,</w:t>
      </w:r>
      <w:r w:rsidR="00252C43" w:rsidRPr="003A0F2E">
        <w:rPr>
          <w:rFonts w:ascii="Arial" w:hAnsi="Arial" w:cs="Arial"/>
        </w:rPr>
        <w:t xml:space="preserve"> transform </w:t>
      </w:r>
      <w:r w:rsidR="00F50D09" w:rsidRPr="003A0F2E">
        <w:rPr>
          <w:rFonts w:ascii="Arial" w:hAnsi="Arial" w:cs="Arial"/>
        </w:rPr>
        <w:t>them</w:t>
      </w:r>
      <w:r w:rsidR="00252C43" w:rsidRPr="003A0F2E">
        <w:rPr>
          <w:rFonts w:ascii="Arial" w:hAnsi="Arial" w:cs="Arial"/>
        </w:rPr>
        <w:t xml:space="preserve"> </w:t>
      </w:r>
      <w:r w:rsidR="00905C26" w:rsidRPr="003A0F2E">
        <w:rPr>
          <w:rFonts w:ascii="Arial" w:hAnsi="Arial" w:cs="Arial"/>
        </w:rPr>
        <w:t xml:space="preserve">into an offer that </w:t>
      </w:r>
      <w:r w:rsidR="00E43273" w:rsidRPr="003A0F2E">
        <w:rPr>
          <w:rFonts w:ascii="Arial" w:hAnsi="Arial" w:cs="Arial"/>
        </w:rPr>
        <w:t>is safe</w:t>
      </w:r>
      <w:r w:rsidR="00252C43" w:rsidRPr="003A0F2E">
        <w:rPr>
          <w:rFonts w:ascii="Arial" w:hAnsi="Arial" w:cs="Arial"/>
        </w:rPr>
        <w:t>, equitable</w:t>
      </w:r>
      <w:r w:rsidR="00F50D09" w:rsidRPr="003A0F2E">
        <w:rPr>
          <w:rFonts w:ascii="Arial" w:hAnsi="Arial" w:cs="Arial"/>
        </w:rPr>
        <w:t xml:space="preserve"> and</w:t>
      </w:r>
      <w:r w:rsidR="00252C43" w:rsidRPr="003A0F2E">
        <w:rPr>
          <w:rFonts w:ascii="Arial" w:hAnsi="Arial" w:cs="Arial"/>
        </w:rPr>
        <w:t xml:space="preserve"> affordable </w:t>
      </w:r>
      <w:r w:rsidR="008B244C" w:rsidRPr="003A0F2E">
        <w:rPr>
          <w:rFonts w:ascii="Arial" w:hAnsi="Arial" w:cs="Arial"/>
        </w:rPr>
        <w:t xml:space="preserve">for the GM population. </w:t>
      </w:r>
      <w:r w:rsidR="00F50D09" w:rsidRPr="003A0F2E">
        <w:rPr>
          <w:rFonts w:ascii="Arial" w:hAnsi="Arial" w:cs="Arial"/>
        </w:rPr>
        <w:t xml:space="preserve">The programme is led by a multi-disciplinary and cross-sector taskforce group including representatives from LMC, Primary Care Board, Trusts and the ICB. </w:t>
      </w:r>
    </w:p>
    <w:p w:rsidR="009A7E03" w:rsidRPr="003A0F2E" w:rsidRDefault="009A7E03" w:rsidP="005E0A14">
      <w:pPr>
        <w:rPr>
          <w:rFonts w:ascii="Arial" w:hAnsi="Arial" w:cs="Arial"/>
        </w:rPr>
      </w:pPr>
    </w:p>
    <w:p w:rsidR="008B244C" w:rsidRPr="003A0F2E" w:rsidRDefault="008B244C" w:rsidP="005E0A14">
      <w:pPr>
        <w:rPr>
          <w:rFonts w:ascii="Arial" w:hAnsi="Arial" w:cs="Arial"/>
        </w:rPr>
      </w:pPr>
      <w:r w:rsidRPr="003A0F2E">
        <w:rPr>
          <w:rFonts w:ascii="Arial" w:hAnsi="Arial" w:cs="Arial"/>
        </w:rPr>
        <w:t xml:space="preserve">There are </w:t>
      </w:r>
      <w:r w:rsidR="009A7E03" w:rsidRPr="003A0F2E">
        <w:rPr>
          <w:rFonts w:ascii="Arial" w:hAnsi="Arial" w:cs="Arial"/>
        </w:rPr>
        <w:t>~</w:t>
      </w:r>
      <w:r w:rsidR="00174B62" w:rsidRPr="003A0F2E">
        <w:rPr>
          <w:rFonts w:ascii="Arial" w:hAnsi="Arial" w:cs="Arial"/>
        </w:rPr>
        <w:t>60</w:t>
      </w:r>
      <w:r w:rsidR="009A7E03" w:rsidRPr="003A0F2E">
        <w:rPr>
          <w:rFonts w:ascii="Arial" w:hAnsi="Arial" w:cs="Arial"/>
        </w:rPr>
        <w:t xml:space="preserve"> shared care</w:t>
      </w:r>
      <w:r w:rsidR="00814271" w:rsidRPr="003A0F2E">
        <w:rPr>
          <w:rFonts w:ascii="Arial" w:hAnsi="Arial" w:cs="Arial"/>
        </w:rPr>
        <w:t xml:space="preserve"> </w:t>
      </w:r>
      <w:r w:rsidR="009A7E03" w:rsidRPr="003A0F2E">
        <w:rPr>
          <w:rFonts w:ascii="Arial" w:hAnsi="Arial" w:cs="Arial"/>
        </w:rPr>
        <w:t>medicines and associated pathways</w:t>
      </w:r>
      <w:r w:rsidR="00001545" w:rsidRPr="003A0F2E">
        <w:rPr>
          <w:rFonts w:ascii="Arial" w:hAnsi="Arial" w:cs="Arial"/>
        </w:rPr>
        <w:t xml:space="preserve"> (see appendix 1)</w:t>
      </w:r>
      <w:r w:rsidR="009A7E03" w:rsidRPr="003A0F2E">
        <w:rPr>
          <w:rFonts w:ascii="Arial" w:hAnsi="Arial" w:cs="Arial"/>
        </w:rPr>
        <w:t xml:space="preserve"> approved by the GM system. The </w:t>
      </w:r>
      <w:r w:rsidR="00174B62" w:rsidRPr="003A0F2E">
        <w:rPr>
          <w:rFonts w:ascii="Arial" w:hAnsi="Arial" w:cs="Arial"/>
        </w:rPr>
        <w:t>taskforce</w:t>
      </w:r>
      <w:r w:rsidR="009A7E03" w:rsidRPr="003A0F2E">
        <w:rPr>
          <w:rFonts w:ascii="Arial" w:hAnsi="Arial" w:cs="Arial"/>
        </w:rPr>
        <w:t xml:space="preserve"> agreed that high quality and safe care</w:t>
      </w:r>
      <w:r w:rsidR="007D46D4" w:rsidRPr="003A0F2E">
        <w:rPr>
          <w:rFonts w:ascii="Arial" w:hAnsi="Arial" w:cs="Arial"/>
        </w:rPr>
        <w:t xml:space="preserve"> </w:t>
      </w:r>
      <w:r w:rsidR="009A7E03" w:rsidRPr="003A0F2E">
        <w:rPr>
          <w:rFonts w:ascii="Arial" w:hAnsi="Arial" w:cs="Arial"/>
        </w:rPr>
        <w:t>exist</w:t>
      </w:r>
      <w:r w:rsidR="00174B62" w:rsidRPr="003A0F2E">
        <w:rPr>
          <w:rFonts w:ascii="Arial" w:hAnsi="Arial" w:cs="Arial"/>
        </w:rPr>
        <w:t>s</w:t>
      </w:r>
      <w:r w:rsidR="009A7E03" w:rsidRPr="003A0F2E">
        <w:rPr>
          <w:rFonts w:ascii="Arial" w:hAnsi="Arial" w:cs="Arial"/>
        </w:rPr>
        <w:t xml:space="preserve"> for many of these medicines, however, there are some </w:t>
      </w:r>
      <w:r w:rsidR="00E43273" w:rsidRPr="003A0F2E">
        <w:rPr>
          <w:rFonts w:ascii="Arial" w:hAnsi="Arial" w:cs="Arial"/>
        </w:rPr>
        <w:t>areas</w:t>
      </w:r>
      <w:r w:rsidR="009A7E03" w:rsidRPr="003A0F2E">
        <w:rPr>
          <w:rFonts w:ascii="Arial" w:hAnsi="Arial" w:cs="Arial"/>
        </w:rPr>
        <w:t xml:space="preserve"> that require a deeper dive to </w:t>
      </w:r>
      <w:r w:rsidR="006B78C6" w:rsidRPr="003A0F2E">
        <w:rPr>
          <w:rFonts w:ascii="Arial" w:hAnsi="Arial" w:cs="Arial"/>
        </w:rPr>
        <w:t xml:space="preserve">address safety concerns and </w:t>
      </w:r>
      <w:r w:rsidR="001F7A2C" w:rsidRPr="003A0F2E">
        <w:rPr>
          <w:rFonts w:ascii="Arial" w:hAnsi="Arial" w:cs="Arial"/>
        </w:rPr>
        <w:t xml:space="preserve">to </w:t>
      </w:r>
      <w:r w:rsidR="00E43273" w:rsidRPr="003A0F2E">
        <w:rPr>
          <w:rFonts w:ascii="Arial" w:hAnsi="Arial" w:cs="Arial"/>
        </w:rPr>
        <w:t>optimise pathways</w:t>
      </w:r>
      <w:r w:rsidR="001F7A2C" w:rsidRPr="003A0F2E">
        <w:rPr>
          <w:rFonts w:ascii="Arial" w:hAnsi="Arial" w:cs="Arial"/>
        </w:rPr>
        <w:t xml:space="preserve">; </w:t>
      </w:r>
      <w:r w:rsidR="0060699F">
        <w:rPr>
          <w:rFonts w:ascii="Arial" w:hAnsi="Arial" w:cs="Arial"/>
        </w:rPr>
        <w:t>this</w:t>
      </w:r>
      <w:r w:rsidR="001F7A2C" w:rsidRPr="003A0F2E">
        <w:rPr>
          <w:rFonts w:ascii="Arial" w:hAnsi="Arial" w:cs="Arial"/>
        </w:rPr>
        <w:t xml:space="preserve"> includes improving consistency of commissioning and monitoring arrangements</w:t>
      </w:r>
      <w:r w:rsidR="009A7E03" w:rsidRPr="003A0F2E">
        <w:rPr>
          <w:rFonts w:ascii="Arial" w:hAnsi="Arial" w:cs="Arial"/>
        </w:rPr>
        <w:t>. A decision was made to</w:t>
      </w:r>
      <w:r w:rsidR="00905C26" w:rsidRPr="003A0F2E">
        <w:rPr>
          <w:rFonts w:ascii="Arial" w:hAnsi="Arial" w:cs="Arial"/>
        </w:rPr>
        <w:t xml:space="preserve"> </w:t>
      </w:r>
      <w:r w:rsidR="009A7E03" w:rsidRPr="003A0F2E">
        <w:rPr>
          <w:rFonts w:ascii="Arial" w:hAnsi="Arial" w:cs="Arial"/>
        </w:rPr>
        <w:t>focus on</w:t>
      </w:r>
      <w:r w:rsidR="00F50D09" w:rsidRPr="003A0F2E">
        <w:rPr>
          <w:rFonts w:ascii="Arial" w:hAnsi="Arial" w:cs="Arial"/>
        </w:rPr>
        <w:t xml:space="preserve"> higher risk</w:t>
      </w:r>
      <w:r w:rsidR="009A7E03" w:rsidRPr="003A0F2E">
        <w:rPr>
          <w:rFonts w:ascii="Arial" w:hAnsi="Arial" w:cs="Arial"/>
        </w:rPr>
        <w:t xml:space="preserve"> SCOM </w:t>
      </w:r>
      <w:r w:rsidR="00F50D09" w:rsidRPr="003A0F2E">
        <w:rPr>
          <w:rFonts w:ascii="Arial" w:hAnsi="Arial" w:cs="Arial"/>
        </w:rPr>
        <w:t xml:space="preserve">pathways, which include </w:t>
      </w:r>
      <w:r w:rsidR="00296D45" w:rsidRPr="003A0F2E">
        <w:rPr>
          <w:rFonts w:ascii="Arial" w:hAnsi="Arial" w:cs="Arial"/>
        </w:rPr>
        <w:t>medicines</w:t>
      </w:r>
      <w:r w:rsidR="00F50D09" w:rsidRPr="003A0F2E">
        <w:rPr>
          <w:rFonts w:ascii="Arial" w:hAnsi="Arial" w:cs="Arial"/>
        </w:rPr>
        <w:t xml:space="preserve"> used </w:t>
      </w:r>
      <w:r w:rsidR="00706AC8" w:rsidRPr="003A0F2E">
        <w:rPr>
          <w:rFonts w:ascii="Arial" w:hAnsi="Arial" w:cs="Arial"/>
        </w:rPr>
        <w:t>for</w:t>
      </w:r>
      <w:r w:rsidR="00F50D09" w:rsidRPr="003A0F2E">
        <w:rPr>
          <w:rFonts w:ascii="Arial" w:hAnsi="Arial" w:cs="Arial"/>
        </w:rPr>
        <w:t xml:space="preserve"> mental illness. </w:t>
      </w:r>
    </w:p>
    <w:p w:rsidR="009A7E03" w:rsidRPr="003A0F2E" w:rsidRDefault="009A7E03" w:rsidP="005E0A14">
      <w:pPr>
        <w:rPr>
          <w:rFonts w:ascii="Arial" w:hAnsi="Arial" w:cs="Arial"/>
        </w:rPr>
      </w:pPr>
    </w:p>
    <w:p w:rsidR="008B244C" w:rsidRPr="003A0F2E" w:rsidRDefault="008B244C" w:rsidP="005E0A14">
      <w:pPr>
        <w:rPr>
          <w:rFonts w:ascii="Arial" w:hAnsi="Arial" w:cs="Arial"/>
        </w:rPr>
      </w:pPr>
      <w:r w:rsidRPr="003A0F2E">
        <w:rPr>
          <w:rFonts w:ascii="Arial" w:hAnsi="Arial" w:cs="Arial"/>
        </w:rPr>
        <w:t xml:space="preserve">The SCOM programme </w:t>
      </w:r>
      <w:r w:rsidR="00706AC8" w:rsidRPr="003A0F2E">
        <w:rPr>
          <w:rFonts w:ascii="Arial" w:hAnsi="Arial" w:cs="Arial"/>
        </w:rPr>
        <w:t xml:space="preserve">has </w:t>
      </w:r>
      <w:r w:rsidR="00E43273" w:rsidRPr="003A0F2E">
        <w:rPr>
          <w:rFonts w:ascii="Arial" w:hAnsi="Arial" w:cs="Arial"/>
        </w:rPr>
        <w:t xml:space="preserve">identified </w:t>
      </w:r>
      <w:r w:rsidR="00180473" w:rsidRPr="003A0F2E">
        <w:rPr>
          <w:rFonts w:ascii="Arial" w:hAnsi="Arial" w:cs="Arial"/>
        </w:rPr>
        <w:t>5</w:t>
      </w:r>
      <w:r w:rsidR="00E43273" w:rsidRPr="003A0F2E">
        <w:rPr>
          <w:rFonts w:ascii="Arial" w:hAnsi="Arial" w:cs="Arial"/>
        </w:rPr>
        <w:t xml:space="preserve"> areas</w:t>
      </w:r>
      <w:r w:rsidR="003160DD" w:rsidRPr="003A0F2E">
        <w:rPr>
          <w:rFonts w:ascii="Arial" w:hAnsi="Arial" w:cs="Arial"/>
        </w:rPr>
        <w:t xml:space="preserve"> of concern</w:t>
      </w:r>
      <w:r w:rsidR="00AE7DFA" w:rsidRPr="003A0F2E">
        <w:rPr>
          <w:rFonts w:ascii="Arial" w:hAnsi="Arial" w:cs="Arial"/>
        </w:rPr>
        <w:t xml:space="preserve"> that are described below. The programme is responsible for progressing solutions for </w:t>
      </w:r>
      <w:r w:rsidR="009C4795" w:rsidRPr="003A0F2E">
        <w:rPr>
          <w:rFonts w:ascii="Arial" w:hAnsi="Arial" w:cs="Arial"/>
        </w:rPr>
        <w:t>all 5 areas</w:t>
      </w:r>
      <w:r w:rsidRPr="003A0F2E">
        <w:rPr>
          <w:rFonts w:ascii="Arial" w:hAnsi="Arial" w:cs="Arial"/>
        </w:rPr>
        <w:t xml:space="preserve">: </w:t>
      </w:r>
    </w:p>
    <w:p w:rsidR="00706AC8" w:rsidRPr="003A0F2E" w:rsidRDefault="00706AC8" w:rsidP="00706AC8">
      <w:pPr>
        <w:pStyle w:val="ListParagraph"/>
        <w:numPr>
          <w:ilvl w:val="0"/>
          <w:numId w:val="8"/>
        </w:numPr>
        <w:rPr>
          <w:rFonts w:ascii="Arial" w:hAnsi="Arial" w:cs="Arial"/>
          <w:b/>
          <w:bCs/>
        </w:rPr>
      </w:pPr>
      <w:r w:rsidRPr="003A0F2E">
        <w:rPr>
          <w:rFonts w:ascii="Arial" w:hAnsi="Arial" w:cs="Arial"/>
          <w:b/>
          <w:bCs/>
        </w:rPr>
        <w:t>Data</w:t>
      </w:r>
    </w:p>
    <w:p w:rsidR="00706AC8" w:rsidRPr="003A0F2E" w:rsidRDefault="00706AC8" w:rsidP="00706AC8">
      <w:pPr>
        <w:pStyle w:val="ListParagraph"/>
        <w:numPr>
          <w:ilvl w:val="1"/>
          <w:numId w:val="8"/>
        </w:numPr>
        <w:rPr>
          <w:rFonts w:ascii="Arial" w:hAnsi="Arial" w:cs="Arial"/>
        </w:rPr>
      </w:pPr>
      <w:r w:rsidRPr="003A0F2E">
        <w:rPr>
          <w:rFonts w:ascii="Arial" w:hAnsi="Arial" w:cs="Arial"/>
        </w:rPr>
        <w:t xml:space="preserve">There is a lack of data and information to accurately </w:t>
      </w:r>
      <w:r w:rsidR="005E7A39" w:rsidRPr="003A0F2E">
        <w:rPr>
          <w:rFonts w:ascii="Arial" w:hAnsi="Arial" w:cs="Arial"/>
        </w:rPr>
        <w:t>identify</w:t>
      </w:r>
      <w:r w:rsidRPr="003A0F2E">
        <w:rPr>
          <w:rFonts w:ascii="Arial" w:hAnsi="Arial" w:cs="Arial"/>
        </w:rPr>
        <w:t xml:space="preserve"> the level of shared care activity across </w:t>
      </w:r>
      <w:r w:rsidR="00BE28B0" w:rsidRPr="003A0F2E">
        <w:rPr>
          <w:rFonts w:ascii="Arial" w:hAnsi="Arial" w:cs="Arial"/>
        </w:rPr>
        <w:t xml:space="preserve">both </w:t>
      </w:r>
      <w:r w:rsidRPr="003A0F2E">
        <w:rPr>
          <w:rFonts w:ascii="Arial" w:hAnsi="Arial" w:cs="Arial"/>
        </w:rPr>
        <w:t xml:space="preserve">primary care and secondary care.  </w:t>
      </w:r>
    </w:p>
    <w:p w:rsidR="00706AC8" w:rsidRPr="003A0F2E" w:rsidRDefault="001F7A2C" w:rsidP="00706AC8">
      <w:pPr>
        <w:pStyle w:val="ListParagraph"/>
        <w:numPr>
          <w:ilvl w:val="0"/>
          <w:numId w:val="8"/>
        </w:numPr>
        <w:rPr>
          <w:rFonts w:ascii="Arial" w:hAnsi="Arial" w:cs="Arial"/>
          <w:b/>
          <w:bCs/>
        </w:rPr>
      </w:pPr>
      <w:r w:rsidRPr="003A0F2E">
        <w:rPr>
          <w:rFonts w:ascii="Arial" w:hAnsi="Arial" w:cs="Arial"/>
          <w:b/>
          <w:bCs/>
        </w:rPr>
        <w:t>Commissioning and contract arrangements</w:t>
      </w:r>
    </w:p>
    <w:p w:rsidR="00706AC8" w:rsidRPr="003A0F2E" w:rsidRDefault="0054476A" w:rsidP="00706AC8">
      <w:pPr>
        <w:pStyle w:val="ListParagraph"/>
        <w:numPr>
          <w:ilvl w:val="1"/>
          <w:numId w:val="8"/>
        </w:numPr>
        <w:rPr>
          <w:rFonts w:ascii="Arial" w:hAnsi="Arial" w:cs="Arial"/>
        </w:rPr>
      </w:pPr>
      <w:r w:rsidRPr="003A0F2E">
        <w:rPr>
          <w:rFonts w:ascii="Arial" w:hAnsi="Arial" w:cs="Arial"/>
        </w:rPr>
        <w:t>Variation exists</w:t>
      </w:r>
      <w:r w:rsidR="00706AC8" w:rsidRPr="003A0F2E">
        <w:rPr>
          <w:rFonts w:ascii="Arial" w:hAnsi="Arial" w:cs="Arial"/>
        </w:rPr>
        <w:t xml:space="preserve"> </w:t>
      </w:r>
      <w:r w:rsidRPr="003A0F2E">
        <w:rPr>
          <w:rFonts w:ascii="Arial" w:hAnsi="Arial" w:cs="Arial"/>
        </w:rPr>
        <w:t>for p</w:t>
      </w:r>
      <w:r w:rsidR="00706AC8" w:rsidRPr="003A0F2E">
        <w:rPr>
          <w:rFonts w:ascii="Arial" w:hAnsi="Arial" w:cs="Arial"/>
        </w:rPr>
        <w:t xml:space="preserve">rimary </w:t>
      </w:r>
      <w:r w:rsidRPr="003A0F2E">
        <w:rPr>
          <w:rFonts w:ascii="Arial" w:hAnsi="Arial" w:cs="Arial"/>
        </w:rPr>
        <w:t>c</w:t>
      </w:r>
      <w:r w:rsidR="00706AC8" w:rsidRPr="003A0F2E">
        <w:rPr>
          <w:rFonts w:ascii="Arial" w:hAnsi="Arial" w:cs="Arial"/>
        </w:rPr>
        <w:t xml:space="preserve">are </w:t>
      </w:r>
      <w:r w:rsidR="001F7A2C" w:rsidRPr="003A0F2E">
        <w:rPr>
          <w:rFonts w:ascii="Arial" w:hAnsi="Arial" w:cs="Arial"/>
        </w:rPr>
        <w:t xml:space="preserve">commissioning and </w:t>
      </w:r>
      <w:r w:rsidR="00706AC8" w:rsidRPr="003A0F2E">
        <w:rPr>
          <w:rFonts w:ascii="Arial" w:hAnsi="Arial" w:cs="Arial"/>
        </w:rPr>
        <w:t>contract</w:t>
      </w:r>
      <w:r w:rsidR="001F7A2C" w:rsidRPr="003A0F2E">
        <w:rPr>
          <w:rFonts w:ascii="Arial" w:hAnsi="Arial" w:cs="Arial"/>
        </w:rPr>
        <w:t>ing</w:t>
      </w:r>
      <w:r w:rsidR="00706AC8" w:rsidRPr="003A0F2E">
        <w:rPr>
          <w:rFonts w:ascii="Arial" w:hAnsi="Arial" w:cs="Arial"/>
        </w:rPr>
        <w:t xml:space="preserve"> arrangements</w:t>
      </w:r>
      <w:r w:rsidRPr="003A0F2E">
        <w:rPr>
          <w:rFonts w:ascii="Arial" w:hAnsi="Arial" w:cs="Arial"/>
        </w:rPr>
        <w:t xml:space="preserve"> for </w:t>
      </w:r>
      <w:r w:rsidR="00BE28B0" w:rsidRPr="003A0F2E">
        <w:rPr>
          <w:rFonts w:ascii="Arial" w:hAnsi="Arial" w:cs="Arial"/>
        </w:rPr>
        <w:t>SCOM</w:t>
      </w:r>
      <w:r w:rsidR="00706AC8" w:rsidRPr="003A0F2E">
        <w:rPr>
          <w:rFonts w:ascii="Arial" w:hAnsi="Arial" w:cs="Arial"/>
        </w:rPr>
        <w:t xml:space="preserve"> </w:t>
      </w:r>
      <w:r w:rsidRPr="003A0F2E">
        <w:rPr>
          <w:rFonts w:ascii="Arial" w:hAnsi="Arial" w:cs="Arial"/>
        </w:rPr>
        <w:t xml:space="preserve">across all localities. </w:t>
      </w:r>
      <w:r w:rsidR="001F7A2C" w:rsidRPr="003A0F2E">
        <w:rPr>
          <w:rFonts w:ascii="Arial" w:hAnsi="Arial" w:cs="Arial"/>
        </w:rPr>
        <w:t xml:space="preserve">This includes gaps in commissioning such as ECG, </w:t>
      </w:r>
      <w:r w:rsidR="0060699F">
        <w:rPr>
          <w:rFonts w:ascii="Arial" w:hAnsi="Arial" w:cs="Arial"/>
        </w:rPr>
        <w:t xml:space="preserve">phlebotomy and the number </w:t>
      </w:r>
      <w:r w:rsidR="001F7A2C" w:rsidRPr="003A0F2E">
        <w:rPr>
          <w:rFonts w:ascii="Arial" w:hAnsi="Arial" w:cs="Arial"/>
        </w:rPr>
        <w:t xml:space="preserve">of appointments. </w:t>
      </w:r>
    </w:p>
    <w:p w:rsidR="00706AC8" w:rsidRPr="003A0F2E" w:rsidRDefault="00706AC8" w:rsidP="00706AC8">
      <w:pPr>
        <w:pStyle w:val="ListParagraph"/>
        <w:numPr>
          <w:ilvl w:val="0"/>
          <w:numId w:val="8"/>
        </w:numPr>
        <w:rPr>
          <w:rFonts w:ascii="Arial" w:hAnsi="Arial" w:cs="Arial"/>
          <w:b/>
          <w:bCs/>
        </w:rPr>
      </w:pPr>
      <w:r w:rsidRPr="003A0F2E">
        <w:rPr>
          <w:rFonts w:ascii="Arial" w:hAnsi="Arial" w:cs="Arial"/>
          <w:b/>
          <w:bCs/>
        </w:rPr>
        <w:t xml:space="preserve">Finance </w:t>
      </w:r>
    </w:p>
    <w:p w:rsidR="00706AC8" w:rsidRPr="003A0F2E" w:rsidRDefault="00706AC8">
      <w:pPr>
        <w:pStyle w:val="ListParagraph"/>
        <w:numPr>
          <w:ilvl w:val="1"/>
          <w:numId w:val="8"/>
        </w:numPr>
        <w:rPr>
          <w:rFonts w:ascii="Arial" w:hAnsi="Arial" w:cs="Arial"/>
        </w:rPr>
      </w:pPr>
      <w:r w:rsidRPr="003A0F2E">
        <w:rPr>
          <w:rFonts w:ascii="Arial" w:hAnsi="Arial" w:cs="Arial"/>
        </w:rPr>
        <w:t xml:space="preserve">There is variation in finance arrangements across all localities with different tariffs in place. </w:t>
      </w:r>
      <w:r w:rsidR="0054476A" w:rsidRPr="003A0F2E">
        <w:rPr>
          <w:rFonts w:ascii="Arial" w:hAnsi="Arial" w:cs="Arial"/>
        </w:rPr>
        <w:t>M</w:t>
      </w:r>
      <w:r w:rsidRPr="003A0F2E">
        <w:rPr>
          <w:rFonts w:ascii="Arial" w:hAnsi="Arial" w:cs="Arial"/>
        </w:rPr>
        <w:t>onitoring and payment mechanisms</w:t>
      </w:r>
      <w:r w:rsidR="00BE28B0" w:rsidRPr="003A0F2E">
        <w:rPr>
          <w:rFonts w:ascii="Arial" w:hAnsi="Arial" w:cs="Arial"/>
        </w:rPr>
        <w:t xml:space="preserve"> also</w:t>
      </w:r>
      <w:r w:rsidRPr="003A0F2E">
        <w:rPr>
          <w:rFonts w:ascii="Arial" w:hAnsi="Arial" w:cs="Arial"/>
        </w:rPr>
        <w:t xml:space="preserve"> vary across each of the localities.</w:t>
      </w:r>
    </w:p>
    <w:p w:rsidR="00706AC8" w:rsidRPr="003A0F2E" w:rsidRDefault="00706AC8" w:rsidP="00706AC8">
      <w:pPr>
        <w:pStyle w:val="ListParagraph"/>
        <w:numPr>
          <w:ilvl w:val="0"/>
          <w:numId w:val="8"/>
        </w:numPr>
        <w:rPr>
          <w:rFonts w:ascii="Arial" w:hAnsi="Arial" w:cs="Arial"/>
          <w:b/>
          <w:bCs/>
        </w:rPr>
      </w:pPr>
      <w:r w:rsidRPr="003A0F2E">
        <w:rPr>
          <w:rFonts w:ascii="Arial" w:hAnsi="Arial" w:cs="Arial"/>
          <w:b/>
          <w:bCs/>
        </w:rPr>
        <w:t>Process and communication</w:t>
      </w:r>
    </w:p>
    <w:p w:rsidR="001D4202" w:rsidRPr="003A0F2E" w:rsidRDefault="00706AC8" w:rsidP="003A0F2E">
      <w:pPr>
        <w:pStyle w:val="ListParagraph"/>
        <w:numPr>
          <w:ilvl w:val="1"/>
          <w:numId w:val="8"/>
        </w:numPr>
        <w:rPr>
          <w:rFonts w:ascii="Arial" w:hAnsi="Arial" w:cs="Arial"/>
        </w:rPr>
      </w:pPr>
      <w:r w:rsidRPr="003A0F2E">
        <w:rPr>
          <w:rFonts w:ascii="Arial" w:hAnsi="Arial" w:cs="Arial"/>
        </w:rPr>
        <w:t xml:space="preserve">The process and approach </w:t>
      </w:r>
      <w:r w:rsidR="00BE28B0" w:rsidRPr="003A0F2E">
        <w:rPr>
          <w:rFonts w:ascii="Arial" w:hAnsi="Arial" w:cs="Arial"/>
        </w:rPr>
        <w:t>to undertake</w:t>
      </w:r>
      <w:r w:rsidRPr="003A0F2E">
        <w:rPr>
          <w:rFonts w:ascii="Arial" w:hAnsi="Arial" w:cs="Arial"/>
        </w:rPr>
        <w:t xml:space="preserve"> </w:t>
      </w:r>
      <w:r w:rsidR="0054476A" w:rsidRPr="003A0F2E">
        <w:rPr>
          <w:rFonts w:ascii="Arial" w:hAnsi="Arial" w:cs="Arial"/>
        </w:rPr>
        <w:t>SCOM</w:t>
      </w:r>
      <w:r w:rsidRPr="003A0F2E">
        <w:rPr>
          <w:rFonts w:ascii="Arial" w:hAnsi="Arial" w:cs="Arial"/>
        </w:rPr>
        <w:t xml:space="preserve"> is not always followed by </w:t>
      </w:r>
      <w:r w:rsidR="0054476A" w:rsidRPr="003A0F2E">
        <w:rPr>
          <w:rFonts w:ascii="Arial" w:hAnsi="Arial" w:cs="Arial"/>
        </w:rPr>
        <w:t>secondary care</w:t>
      </w:r>
      <w:r w:rsidR="00BE28B0" w:rsidRPr="003A0F2E">
        <w:rPr>
          <w:rFonts w:ascii="Arial" w:hAnsi="Arial" w:cs="Arial"/>
        </w:rPr>
        <w:t xml:space="preserve">, which </w:t>
      </w:r>
      <w:r w:rsidRPr="003A0F2E">
        <w:rPr>
          <w:rFonts w:ascii="Arial" w:hAnsi="Arial" w:cs="Arial"/>
        </w:rPr>
        <w:t>places GP</w:t>
      </w:r>
      <w:r w:rsidR="00E32D78" w:rsidRPr="003A0F2E">
        <w:rPr>
          <w:rFonts w:ascii="Arial" w:hAnsi="Arial" w:cs="Arial"/>
        </w:rPr>
        <w:t xml:space="preserve"> </w:t>
      </w:r>
      <w:r w:rsidR="001A5517">
        <w:rPr>
          <w:rFonts w:ascii="Arial" w:hAnsi="Arial" w:cs="Arial"/>
        </w:rPr>
        <w:t>p</w:t>
      </w:r>
      <w:r w:rsidR="003D69DC">
        <w:rPr>
          <w:rFonts w:ascii="Arial" w:hAnsi="Arial" w:cs="Arial"/>
        </w:rPr>
        <w:t>ractice</w:t>
      </w:r>
      <w:r w:rsidR="00E32D78" w:rsidRPr="003A0F2E">
        <w:rPr>
          <w:rFonts w:ascii="Arial" w:hAnsi="Arial" w:cs="Arial"/>
        </w:rPr>
        <w:t>s</w:t>
      </w:r>
      <w:r w:rsidRPr="003A0F2E">
        <w:rPr>
          <w:rFonts w:ascii="Arial" w:hAnsi="Arial" w:cs="Arial"/>
        </w:rPr>
        <w:t xml:space="preserve"> in difficult positions to provide the continuation of care to patients safely. This is through the request forms with full information </w:t>
      </w:r>
      <w:r w:rsidR="001F3836" w:rsidRPr="003A0F2E">
        <w:rPr>
          <w:rFonts w:ascii="Arial" w:hAnsi="Arial" w:cs="Arial"/>
        </w:rPr>
        <w:t xml:space="preserve">are </w:t>
      </w:r>
      <w:r w:rsidRPr="003A0F2E">
        <w:rPr>
          <w:rFonts w:ascii="Arial" w:hAnsi="Arial" w:cs="Arial"/>
        </w:rPr>
        <w:t>not always provided</w:t>
      </w:r>
      <w:r w:rsidR="001F3836" w:rsidRPr="003A0F2E">
        <w:rPr>
          <w:rFonts w:ascii="Arial" w:hAnsi="Arial" w:cs="Arial"/>
        </w:rPr>
        <w:t>.</w:t>
      </w:r>
      <w:r w:rsidRPr="003A0F2E">
        <w:rPr>
          <w:rFonts w:ascii="Arial" w:hAnsi="Arial" w:cs="Arial"/>
        </w:rPr>
        <w:t xml:space="preserve"> </w:t>
      </w:r>
    </w:p>
    <w:p w:rsidR="00706AC8" w:rsidRPr="003A0F2E" w:rsidRDefault="00706AC8" w:rsidP="00706AC8">
      <w:pPr>
        <w:pStyle w:val="ListParagraph"/>
        <w:numPr>
          <w:ilvl w:val="0"/>
          <w:numId w:val="8"/>
        </w:numPr>
        <w:rPr>
          <w:rFonts w:ascii="Arial" w:hAnsi="Arial" w:cs="Arial"/>
          <w:b/>
          <w:bCs/>
        </w:rPr>
      </w:pPr>
      <w:r w:rsidRPr="003A0F2E">
        <w:rPr>
          <w:rFonts w:ascii="Arial" w:hAnsi="Arial" w:cs="Arial"/>
          <w:b/>
          <w:bCs/>
        </w:rPr>
        <w:t xml:space="preserve">Digital </w:t>
      </w:r>
    </w:p>
    <w:p w:rsidR="00706AC8" w:rsidRPr="003A0F2E" w:rsidRDefault="00706AC8" w:rsidP="00706AC8">
      <w:pPr>
        <w:pStyle w:val="ListParagraph"/>
        <w:numPr>
          <w:ilvl w:val="1"/>
          <w:numId w:val="8"/>
        </w:numPr>
        <w:rPr>
          <w:rFonts w:ascii="Arial" w:hAnsi="Arial" w:cs="Arial"/>
        </w:rPr>
      </w:pPr>
      <w:r w:rsidRPr="003A0F2E">
        <w:rPr>
          <w:rFonts w:ascii="Arial" w:hAnsi="Arial" w:cs="Arial"/>
        </w:rPr>
        <w:t>There are very limited digital arrangements in place to support the delivery of Shared Care of Medicines</w:t>
      </w:r>
      <w:r w:rsidR="00BE28B0" w:rsidRPr="003A0F2E">
        <w:rPr>
          <w:rFonts w:ascii="Arial" w:hAnsi="Arial" w:cs="Arial"/>
        </w:rPr>
        <w:t xml:space="preserve"> e.g. t</w:t>
      </w:r>
      <w:r w:rsidRPr="003A0F2E">
        <w:rPr>
          <w:rFonts w:ascii="Arial" w:hAnsi="Arial" w:cs="Arial"/>
        </w:rPr>
        <w:t xml:space="preserve">he agreement form is processed </w:t>
      </w:r>
      <w:r w:rsidR="00BE28B0" w:rsidRPr="003A0F2E">
        <w:rPr>
          <w:rFonts w:ascii="Arial" w:hAnsi="Arial" w:cs="Arial"/>
        </w:rPr>
        <w:t>manually</w:t>
      </w:r>
      <w:r w:rsidRPr="003A0F2E">
        <w:rPr>
          <w:rFonts w:ascii="Arial" w:hAnsi="Arial" w:cs="Arial"/>
        </w:rPr>
        <w:t xml:space="preserve"> and there are no electronic prescriptions systems in place </w:t>
      </w:r>
      <w:r w:rsidR="00BE28B0" w:rsidRPr="003A0F2E">
        <w:rPr>
          <w:rFonts w:ascii="Arial" w:hAnsi="Arial" w:cs="Arial"/>
        </w:rPr>
        <w:t>in</w:t>
      </w:r>
      <w:r w:rsidRPr="003A0F2E">
        <w:rPr>
          <w:rFonts w:ascii="Arial" w:hAnsi="Arial" w:cs="Arial"/>
        </w:rPr>
        <w:t xml:space="preserve"> Trusts.</w:t>
      </w:r>
    </w:p>
    <w:p w:rsidR="00E43273" w:rsidRPr="003A0F2E" w:rsidRDefault="00E43273" w:rsidP="005E0A14">
      <w:pPr>
        <w:rPr>
          <w:rFonts w:ascii="Arial" w:hAnsi="Arial" w:cs="Arial"/>
          <w:b/>
          <w:bCs/>
          <w:u w:val="single"/>
        </w:rPr>
      </w:pPr>
    </w:p>
    <w:p w:rsidR="00AB789E" w:rsidRPr="003A0F2E" w:rsidRDefault="0035548A" w:rsidP="005E0A14">
      <w:pPr>
        <w:rPr>
          <w:rFonts w:ascii="Arial" w:hAnsi="Arial" w:cs="Arial"/>
          <w:b/>
          <w:bCs/>
          <w:u w:val="single"/>
        </w:rPr>
      </w:pPr>
      <w:r w:rsidRPr="003A0F2E">
        <w:rPr>
          <w:rFonts w:ascii="Arial" w:hAnsi="Arial" w:cs="Arial"/>
          <w:b/>
          <w:bCs/>
          <w:u w:val="single"/>
        </w:rPr>
        <w:t>SCOM</w:t>
      </w:r>
      <w:r w:rsidR="00F50D09" w:rsidRPr="003A0F2E">
        <w:rPr>
          <w:rFonts w:ascii="Arial" w:hAnsi="Arial" w:cs="Arial"/>
          <w:b/>
          <w:bCs/>
          <w:u w:val="single"/>
        </w:rPr>
        <w:t xml:space="preserve"> in GP practices </w:t>
      </w:r>
    </w:p>
    <w:p w:rsidR="00F50D09" w:rsidRPr="003A0F2E" w:rsidRDefault="00F50D09" w:rsidP="005E0A14">
      <w:pPr>
        <w:rPr>
          <w:rFonts w:ascii="Arial" w:hAnsi="Arial" w:cs="Arial"/>
        </w:rPr>
      </w:pPr>
      <w:r w:rsidRPr="003A0F2E">
        <w:rPr>
          <w:rFonts w:ascii="Arial" w:hAnsi="Arial" w:cs="Arial"/>
        </w:rPr>
        <w:t xml:space="preserve">The SCOM programme identified </w:t>
      </w:r>
      <w:r w:rsidR="00296D45" w:rsidRPr="003A0F2E">
        <w:rPr>
          <w:rFonts w:ascii="Arial" w:hAnsi="Arial" w:cs="Arial"/>
        </w:rPr>
        <w:t>several concerns from GP</w:t>
      </w:r>
      <w:r w:rsidR="007D46D4" w:rsidRPr="003A0F2E">
        <w:rPr>
          <w:rFonts w:ascii="Arial" w:hAnsi="Arial" w:cs="Arial"/>
        </w:rPr>
        <w:t xml:space="preserve"> system</w:t>
      </w:r>
      <w:r w:rsidR="00296D45" w:rsidRPr="003A0F2E">
        <w:rPr>
          <w:rFonts w:ascii="Arial" w:hAnsi="Arial" w:cs="Arial"/>
        </w:rPr>
        <w:t xml:space="preserve"> leaders </w:t>
      </w:r>
      <w:r w:rsidR="00BE28B0" w:rsidRPr="003A0F2E">
        <w:rPr>
          <w:rFonts w:ascii="Arial" w:hAnsi="Arial" w:cs="Arial"/>
        </w:rPr>
        <w:t>including</w:t>
      </w:r>
      <w:r w:rsidR="00026FBC" w:rsidRPr="003A0F2E">
        <w:rPr>
          <w:rFonts w:ascii="Arial" w:hAnsi="Arial" w:cs="Arial"/>
        </w:rPr>
        <w:t xml:space="preserve"> variation in</w:t>
      </w:r>
      <w:r w:rsidR="00296D45" w:rsidRPr="003A0F2E">
        <w:rPr>
          <w:rFonts w:ascii="Arial" w:hAnsi="Arial" w:cs="Arial"/>
        </w:rPr>
        <w:t xml:space="preserve"> </w:t>
      </w:r>
      <w:r w:rsidRPr="003A0F2E">
        <w:rPr>
          <w:rFonts w:ascii="Arial" w:hAnsi="Arial" w:cs="Arial"/>
        </w:rPr>
        <w:t xml:space="preserve">commissioning arrangements </w:t>
      </w:r>
      <w:r w:rsidR="00296D45" w:rsidRPr="003A0F2E">
        <w:rPr>
          <w:rFonts w:ascii="Arial" w:hAnsi="Arial" w:cs="Arial"/>
        </w:rPr>
        <w:t xml:space="preserve">and safety concerns </w:t>
      </w:r>
      <w:r w:rsidR="007D46D4" w:rsidRPr="003A0F2E">
        <w:rPr>
          <w:rFonts w:ascii="Arial" w:hAnsi="Arial" w:cs="Arial"/>
        </w:rPr>
        <w:t>faced</w:t>
      </w:r>
      <w:r w:rsidR="00296D45" w:rsidRPr="003A0F2E">
        <w:rPr>
          <w:rFonts w:ascii="Arial" w:hAnsi="Arial" w:cs="Arial"/>
        </w:rPr>
        <w:t xml:space="preserve"> when sharing the care </w:t>
      </w:r>
      <w:r w:rsidR="00026FBC" w:rsidRPr="003A0F2E">
        <w:rPr>
          <w:rFonts w:ascii="Arial" w:hAnsi="Arial" w:cs="Arial"/>
        </w:rPr>
        <w:t xml:space="preserve">of </w:t>
      </w:r>
      <w:r w:rsidR="00296D45" w:rsidRPr="003A0F2E">
        <w:rPr>
          <w:rFonts w:ascii="Arial" w:hAnsi="Arial" w:cs="Arial"/>
        </w:rPr>
        <w:t>medicines with specialist services. This has led to</w:t>
      </w:r>
      <w:r w:rsidR="00D81DC5" w:rsidRPr="003A0F2E">
        <w:rPr>
          <w:rFonts w:ascii="Arial" w:hAnsi="Arial" w:cs="Arial"/>
        </w:rPr>
        <w:t xml:space="preserve"> </w:t>
      </w:r>
      <w:r w:rsidR="00026FBC" w:rsidRPr="003A0F2E">
        <w:rPr>
          <w:rFonts w:ascii="Arial" w:hAnsi="Arial" w:cs="Arial"/>
        </w:rPr>
        <w:t>substantial</w:t>
      </w:r>
      <w:r w:rsidR="00296D45" w:rsidRPr="003A0F2E">
        <w:rPr>
          <w:rFonts w:ascii="Arial" w:hAnsi="Arial" w:cs="Arial"/>
        </w:rPr>
        <w:t xml:space="preserve"> </w:t>
      </w:r>
      <w:r w:rsidR="00026FBC" w:rsidRPr="003A0F2E">
        <w:rPr>
          <w:rFonts w:ascii="Arial" w:hAnsi="Arial" w:cs="Arial"/>
        </w:rPr>
        <w:t xml:space="preserve">variation in service </w:t>
      </w:r>
      <w:r w:rsidR="00296D45" w:rsidRPr="003A0F2E">
        <w:rPr>
          <w:rFonts w:ascii="Arial" w:hAnsi="Arial" w:cs="Arial"/>
        </w:rPr>
        <w:t>offer</w:t>
      </w:r>
      <w:r w:rsidR="00E06183" w:rsidRPr="003A0F2E">
        <w:rPr>
          <w:rFonts w:ascii="Arial" w:hAnsi="Arial" w:cs="Arial"/>
        </w:rPr>
        <w:t>s</w:t>
      </w:r>
      <w:r w:rsidR="00296D45" w:rsidRPr="003A0F2E">
        <w:rPr>
          <w:rFonts w:ascii="Arial" w:hAnsi="Arial" w:cs="Arial"/>
        </w:rPr>
        <w:t xml:space="preserve"> </w:t>
      </w:r>
      <w:r w:rsidR="00BE28B0" w:rsidRPr="003A0F2E">
        <w:rPr>
          <w:rFonts w:ascii="Arial" w:hAnsi="Arial" w:cs="Arial"/>
        </w:rPr>
        <w:t>in primary care</w:t>
      </w:r>
      <w:r w:rsidR="00814271" w:rsidRPr="003A0F2E">
        <w:rPr>
          <w:rFonts w:ascii="Arial" w:hAnsi="Arial" w:cs="Arial"/>
        </w:rPr>
        <w:t>,</w:t>
      </w:r>
      <w:r w:rsidR="00296D45" w:rsidRPr="003A0F2E">
        <w:rPr>
          <w:rFonts w:ascii="Arial" w:hAnsi="Arial" w:cs="Arial"/>
        </w:rPr>
        <w:t xml:space="preserve"> impacting on continuity of care</w:t>
      </w:r>
      <w:r w:rsidR="00026FBC" w:rsidRPr="003A0F2E">
        <w:rPr>
          <w:rFonts w:ascii="Arial" w:hAnsi="Arial" w:cs="Arial"/>
        </w:rPr>
        <w:t xml:space="preserve">. </w:t>
      </w:r>
      <w:r w:rsidR="00296D45" w:rsidRPr="003A0F2E">
        <w:rPr>
          <w:rFonts w:ascii="Arial" w:hAnsi="Arial" w:cs="Arial"/>
        </w:rPr>
        <w:t xml:space="preserve"> </w:t>
      </w:r>
    </w:p>
    <w:p w:rsidR="006B78C6" w:rsidRPr="003A0F2E" w:rsidRDefault="006B78C6" w:rsidP="007E47F3">
      <w:pPr>
        <w:rPr>
          <w:rFonts w:ascii="Arial" w:hAnsi="Arial" w:cs="Arial"/>
        </w:rPr>
      </w:pPr>
    </w:p>
    <w:p w:rsidR="00026FBC" w:rsidRPr="003A0F2E" w:rsidRDefault="00E43273" w:rsidP="005E0A14">
      <w:pPr>
        <w:rPr>
          <w:rFonts w:ascii="Arial" w:hAnsi="Arial" w:cs="Arial"/>
        </w:rPr>
      </w:pPr>
      <w:r w:rsidRPr="003A0F2E">
        <w:rPr>
          <w:rFonts w:ascii="Arial" w:hAnsi="Arial" w:cs="Arial"/>
        </w:rPr>
        <w:t>The</w:t>
      </w:r>
      <w:r w:rsidR="006B78C6" w:rsidRPr="003A0F2E">
        <w:rPr>
          <w:rFonts w:ascii="Arial" w:hAnsi="Arial" w:cs="Arial"/>
        </w:rPr>
        <w:t xml:space="preserve"> SCOM programme</w:t>
      </w:r>
      <w:r w:rsidRPr="003A0F2E">
        <w:rPr>
          <w:rFonts w:ascii="Arial" w:hAnsi="Arial" w:cs="Arial"/>
        </w:rPr>
        <w:t xml:space="preserve"> </w:t>
      </w:r>
      <w:r w:rsidR="0035548A" w:rsidRPr="003A0F2E">
        <w:rPr>
          <w:rFonts w:ascii="Arial" w:hAnsi="Arial" w:cs="Arial"/>
        </w:rPr>
        <w:t>recognises</w:t>
      </w:r>
      <w:r w:rsidR="00026FBC" w:rsidRPr="003A0F2E">
        <w:rPr>
          <w:rFonts w:ascii="Arial" w:hAnsi="Arial" w:cs="Arial"/>
        </w:rPr>
        <w:t xml:space="preserve"> the importan</w:t>
      </w:r>
      <w:r w:rsidR="00F9213B" w:rsidRPr="003A0F2E">
        <w:rPr>
          <w:rFonts w:ascii="Arial" w:hAnsi="Arial" w:cs="Arial"/>
        </w:rPr>
        <w:t>ce</w:t>
      </w:r>
      <w:r w:rsidR="00026FBC" w:rsidRPr="003A0F2E">
        <w:rPr>
          <w:rFonts w:ascii="Arial" w:hAnsi="Arial" w:cs="Arial"/>
        </w:rPr>
        <w:t xml:space="preserve"> of addressing these challenges </w:t>
      </w:r>
      <w:r w:rsidR="00F9213B" w:rsidRPr="003A0F2E">
        <w:rPr>
          <w:rFonts w:ascii="Arial" w:hAnsi="Arial" w:cs="Arial"/>
        </w:rPr>
        <w:t>to enable</w:t>
      </w:r>
      <w:r w:rsidR="00026FBC" w:rsidRPr="003A0F2E">
        <w:rPr>
          <w:rFonts w:ascii="Arial" w:hAnsi="Arial" w:cs="Arial"/>
        </w:rPr>
        <w:t xml:space="preserve"> </w:t>
      </w:r>
      <w:r w:rsidR="00F9213B" w:rsidRPr="003A0F2E">
        <w:rPr>
          <w:rFonts w:ascii="Arial" w:hAnsi="Arial" w:cs="Arial"/>
        </w:rPr>
        <w:t>GP practices</w:t>
      </w:r>
      <w:r w:rsidR="00026FBC" w:rsidRPr="003A0F2E">
        <w:rPr>
          <w:rFonts w:ascii="Arial" w:hAnsi="Arial" w:cs="Arial"/>
        </w:rPr>
        <w:t xml:space="preserve"> to deliver a consistent </w:t>
      </w:r>
      <w:r w:rsidR="00F9213B" w:rsidRPr="003A0F2E">
        <w:rPr>
          <w:rFonts w:ascii="Arial" w:hAnsi="Arial" w:cs="Arial"/>
        </w:rPr>
        <w:t xml:space="preserve">and safe </w:t>
      </w:r>
      <w:r w:rsidR="00F847CD" w:rsidRPr="003A0F2E">
        <w:rPr>
          <w:rFonts w:ascii="Arial" w:hAnsi="Arial" w:cs="Arial"/>
        </w:rPr>
        <w:t>service for</w:t>
      </w:r>
      <w:r w:rsidR="00026FBC" w:rsidRPr="003A0F2E">
        <w:rPr>
          <w:rFonts w:ascii="Arial" w:hAnsi="Arial" w:cs="Arial"/>
        </w:rPr>
        <w:t xml:space="preserve"> their patients. Consequently, the </w:t>
      </w:r>
      <w:r w:rsidR="00F9213B" w:rsidRPr="003A0F2E">
        <w:rPr>
          <w:rFonts w:ascii="Arial" w:hAnsi="Arial" w:cs="Arial"/>
        </w:rPr>
        <w:t xml:space="preserve">following principles </w:t>
      </w:r>
      <w:r w:rsidR="0035548A" w:rsidRPr="003A0F2E">
        <w:rPr>
          <w:rFonts w:ascii="Arial" w:hAnsi="Arial" w:cs="Arial"/>
        </w:rPr>
        <w:t>are</w:t>
      </w:r>
      <w:r w:rsidR="00026FBC" w:rsidRPr="003A0F2E">
        <w:rPr>
          <w:rFonts w:ascii="Arial" w:hAnsi="Arial" w:cs="Arial"/>
        </w:rPr>
        <w:t xml:space="preserve"> agreed: </w:t>
      </w:r>
    </w:p>
    <w:p w:rsidR="00F9213B" w:rsidRPr="003A0F2E" w:rsidRDefault="00F9213B" w:rsidP="005E0A14">
      <w:pPr>
        <w:rPr>
          <w:rFonts w:ascii="Arial" w:hAnsi="Arial" w:cs="Arial"/>
        </w:rPr>
      </w:pPr>
    </w:p>
    <w:p w:rsidR="00026FBC" w:rsidRPr="003A0F2E" w:rsidRDefault="00082CA4" w:rsidP="00026FBC">
      <w:pPr>
        <w:pStyle w:val="ListParagraph"/>
        <w:numPr>
          <w:ilvl w:val="0"/>
          <w:numId w:val="2"/>
        </w:numPr>
        <w:rPr>
          <w:rFonts w:ascii="Arial" w:hAnsi="Arial" w:cs="Arial"/>
          <w:b/>
          <w:bCs/>
        </w:rPr>
      </w:pPr>
      <w:r w:rsidRPr="003A0F2E">
        <w:rPr>
          <w:rFonts w:ascii="Arial" w:hAnsi="Arial" w:cs="Arial"/>
          <w:b/>
          <w:bCs/>
        </w:rPr>
        <w:t xml:space="preserve">A </w:t>
      </w:r>
      <w:r w:rsidR="00F9213B" w:rsidRPr="003A0F2E">
        <w:rPr>
          <w:rFonts w:ascii="Arial" w:hAnsi="Arial" w:cs="Arial"/>
          <w:b/>
          <w:bCs/>
        </w:rPr>
        <w:t>SCOM service</w:t>
      </w:r>
      <w:r w:rsidR="00CE0C3D" w:rsidRPr="003A0F2E">
        <w:rPr>
          <w:rFonts w:ascii="Arial" w:hAnsi="Arial" w:cs="Arial"/>
          <w:b/>
          <w:bCs/>
        </w:rPr>
        <w:t xml:space="preserve"> delivered by GP practices</w:t>
      </w:r>
      <w:r w:rsidR="00F9213B" w:rsidRPr="003A0F2E">
        <w:rPr>
          <w:rFonts w:ascii="Arial" w:hAnsi="Arial" w:cs="Arial"/>
          <w:b/>
          <w:bCs/>
        </w:rPr>
        <w:t xml:space="preserve"> </w:t>
      </w:r>
      <w:r w:rsidRPr="003A0F2E">
        <w:rPr>
          <w:rFonts w:ascii="Arial" w:hAnsi="Arial" w:cs="Arial"/>
          <w:b/>
          <w:bCs/>
        </w:rPr>
        <w:t>is a</w:t>
      </w:r>
      <w:r w:rsidR="00F9213B" w:rsidRPr="003A0F2E">
        <w:rPr>
          <w:rFonts w:ascii="Arial" w:hAnsi="Arial" w:cs="Arial"/>
          <w:b/>
          <w:bCs/>
        </w:rPr>
        <w:t xml:space="preserve"> fundamental component</w:t>
      </w:r>
      <w:r w:rsidRPr="003A0F2E">
        <w:rPr>
          <w:rFonts w:ascii="Arial" w:hAnsi="Arial" w:cs="Arial"/>
          <w:b/>
          <w:bCs/>
        </w:rPr>
        <w:t xml:space="preserve"> </w:t>
      </w:r>
      <w:r w:rsidR="00F9213B" w:rsidRPr="003A0F2E">
        <w:rPr>
          <w:rFonts w:ascii="Arial" w:hAnsi="Arial" w:cs="Arial"/>
          <w:b/>
          <w:bCs/>
        </w:rPr>
        <w:t xml:space="preserve">to deliver cost-effective care closer to home </w:t>
      </w:r>
    </w:p>
    <w:p w:rsidR="00F9213B" w:rsidRPr="003A0F2E" w:rsidRDefault="00082CA4" w:rsidP="00F9213B">
      <w:pPr>
        <w:pStyle w:val="ListParagraph"/>
        <w:numPr>
          <w:ilvl w:val="0"/>
          <w:numId w:val="2"/>
        </w:numPr>
        <w:rPr>
          <w:rFonts w:ascii="Arial" w:hAnsi="Arial" w:cs="Arial"/>
          <w:b/>
          <w:bCs/>
        </w:rPr>
      </w:pPr>
      <w:r w:rsidRPr="003A0F2E">
        <w:rPr>
          <w:rFonts w:ascii="Arial" w:hAnsi="Arial" w:cs="Arial"/>
          <w:b/>
          <w:bCs/>
        </w:rPr>
        <w:t xml:space="preserve">A </w:t>
      </w:r>
      <w:r w:rsidR="00F9213B" w:rsidRPr="003A0F2E">
        <w:rPr>
          <w:rFonts w:ascii="Arial" w:hAnsi="Arial" w:cs="Arial"/>
          <w:b/>
          <w:bCs/>
        </w:rPr>
        <w:t xml:space="preserve">SCOM service in primary care </w:t>
      </w:r>
      <w:r w:rsidRPr="003A0F2E">
        <w:rPr>
          <w:rFonts w:ascii="Arial" w:hAnsi="Arial" w:cs="Arial"/>
          <w:b/>
          <w:bCs/>
        </w:rPr>
        <w:t>is</w:t>
      </w:r>
      <w:r w:rsidR="00F9213B" w:rsidRPr="003A0F2E">
        <w:rPr>
          <w:rFonts w:ascii="Arial" w:hAnsi="Arial" w:cs="Arial"/>
          <w:b/>
          <w:bCs/>
        </w:rPr>
        <w:t xml:space="preserve"> </w:t>
      </w:r>
      <w:r w:rsidR="004F0724" w:rsidRPr="003A0F2E">
        <w:rPr>
          <w:rFonts w:ascii="Arial" w:hAnsi="Arial" w:cs="Arial"/>
          <w:b/>
          <w:bCs/>
        </w:rPr>
        <w:t>considered over and above</w:t>
      </w:r>
      <w:r w:rsidRPr="003A0F2E">
        <w:rPr>
          <w:rFonts w:ascii="Arial" w:hAnsi="Arial" w:cs="Arial"/>
          <w:b/>
          <w:bCs/>
        </w:rPr>
        <w:t xml:space="preserve"> the</w:t>
      </w:r>
      <w:r w:rsidR="00F9213B" w:rsidRPr="003A0F2E">
        <w:rPr>
          <w:rFonts w:ascii="Arial" w:hAnsi="Arial" w:cs="Arial"/>
          <w:b/>
          <w:bCs/>
        </w:rPr>
        <w:t xml:space="preserve"> GP core contract and requires additional investment </w:t>
      </w:r>
    </w:p>
    <w:p w:rsidR="00082CA4" w:rsidRPr="003A0F2E" w:rsidRDefault="00082CA4" w:rsidP="005E0A14">
      <w:pPr>
        <w:rPr>
          <w:rFonts w:ascii="Arial" w:hAnsi="Arial" w:cs="Arial"/>
        </w:rPr>
      </w:pPr>
    </w:p>
    <w:p w:rsidR="00F9213B" w:rsidRPr="003A0F2E" w:rsidRDefault="00180473" w:rsidP="005E0A14">
      <w:pPr>
        <w:rPr>
          <w:rFonts w:ascii="Arial" w:hAnsi="Arial" w:cs="Arial"/>
        </w:rPr>
      </w:pPr>
      <w:r w:rsidRPr="003A0F2E">
        <w:rPr>
          <w:rFonts w:ascii="Arial" w:hAnsi="Arial" w:cs="Arial"/>
        </w:rPr>
        <w:t>The SCOM programme has committed</w:t>
      </w:r>
      <w:r w:rsidR="00F9213B" w:rsidRPr="003A0F2E">
        <w:rPr>
          <w:rFonts w:ascii="Arial" w:hAnsi="Arial" w:cs="Arial"/>
        </w:rPr>
        <w:t xml:space="preserve"> to </w:t>
      </w:r>
      <w:r w:rsidR="0035548A" w:rsidRPr="003A0F2E">
        <w:rPr>
          <w:rFonts w:ascii="Arial" w:hAnsi="Arial" w:cs="Arial"/>
        </w:rPr>
        <w:t xml:space="preserve">the </w:t>
      </w:r>
      <w:r w:rsidR="00F9213B" w:rsidRPr="003A0F2E">
        <w:rPr>
          <w:rFonts w:ascii="Arial" w:hAnsi="Arial" w:cs="Arial"/>
        </w:rPr>
        <w:t>review and re-design</w:t>
      </w:r>
      <w:r w:rsidR="0035548A" w:rsidRPr="003A0F2E">
        <w:rPr>
          <w:rFonts w:ascii="Arial" w:hAnsi="Arial" w:cs="Arial"/>
        </w:rPr>
        <w:t xml:space="preserve"> of</w:t>
      </w:r>
      <w:r w:rsidR="00F9213B" w:rsidRPr="003A0F2E">
        <w:rPr>
          <w:rFonts w:ascii="Arial" w:hAnsi="Arial" w:cs="Arial"/>
        </w:rPr>
        <w:t xml:space="preserve"> </w:t>
      </w:r>
      <w:r w:rsidR="00082CA4" w:rsidRPr="003A0F2E">
        <w:rPr>
          <w:rFonts w:ascii="Arial" w:hAnsi="Arial" w:cs="Arial"/>
        </w:rPr>
        <w:t xml:space="preserve">SCOM pathways across both primary and secondary care and </w:t>
      </w:r>
      <w:r w:rsidR="0035548A" w:rsidRPr="003A0F2E">
        <w:rPr>
          <w:rFonts w:ascii="Arial" w:hAnsi="Arial" w:cs="Arial"/>
        </w:rPr>
        <w:t xml:space="preserve">to </w:t>
      </w:r>
      <w:r w:rsidR="00082CA4" w:rsidRPr="003A0F2E">
        <w:rPr>
          <w:rFonts w:ascii="Arial" w:hAnsi="Arial" w:cs="Arial"/>
        </w:rPr>
        <w:t xml:space="preserve">develop </w:t>
      </w:r>
      <w:r w:rsidR="00F9213B" w:rsidRPr="003A0F2E">
        <w:rPr>
          <w:rFonts w:ascii="Arial" w:hAnsi="Arial" w:cs="Arial"/>
        </w:rPr>
        <w:t xml:space="preserve">a consistent </w:t>
      </w:r>
      <w:r w:rsidR="00082CA4" w:rsidRPr="003A0F2E">
        <w:rPr>
          <w:rFonts w:ascii="Arial" w:hAnsi="Arial" w:cs="Arial"/>
        </w:rPr>
        <w:t xml:space="preserve">primary care </w:t>
      </w:r>
      <w:r w:rsidR="00F9213B" w:rsidRPr="003A0F2E">
        <w:rPr>
          <w:rFonts w:ascii="Arial" w:hAnsi="Arial" w:cs="Arial"/>
        </w:rPr>
        <w:t>SCOM scheme for all 10 localities by 26/27.</w:t>
      </w:r>
    </w:p>
    <w:p w:rsidR="00F9213B" w:rsidRPr="003A0F2E" w:rsidRDefault="00F9213B" w:rsidP="005E0A14">
      <w:pPr>
        <w:rPr>
          <w:rFonts w:ascii="Arial" w:hAnsi="Arial" w:cs="Arial"/>
          <w:b/>
          <w:bCs/>
          <w:u w:val="single"/>
        </w:rPr>
      </w:pPr>
    </w:p>
    <w:p w:rsidR="00DE38AA" w:rsidRPr="003A0F2E" w:rsidRDefault="00DE38AA" w:rsidP="005E0A14">
      <w:pPr>
        <w:rPr>
          <w:rFonts w:ascii="Arial" w:hAnsi="Arial" w:cs="Arial"/>
          <w:b/>
          <w:bCs/>
        </w:rPr>
      </w:pPr>
      <w:r w:rsidRPr="003A0F2E">
        <w:rPr>
          <w:rFonts w:ascii="Arial" w:hAnsi="Arial" w:cs="Arial"/>
          <w:b/>
          <w:bCs/>
        </w:rPr>
        <w:t xml:space="preserve">Indicative activity across GM in 24/25: </w:t>
      </w:r>
    </w:p>
    <w:p w:rsidR="00E8106B" w:rsidRPr="003A0F2E" w:rsidRDefault="00DE38AA" w:rsidP="005E0A14">
      <w:pPr>
        <w:rPr>
          <w:rFonts w:ascii="Arial" w:hAnsi="Arial" w:cs="Arial"/>
        </w:rPr>
      </w:pPr>
      <w:r w:rsidRPr="003A0F2E">
        <w:rPr>
          <w:rFonts w:ascii="Arial" w:hAnsi="Arial" w:cs="Arial"/>
        </w:rPr>
        <w:t xml:space="preserve">Due to the variation </w:t>
      </w:r>
      <w:r w:rsidR="003D3EDE" w:rsidRPr="003A0F2E">
        <w:rPr>
          <w:rFonts w:ascii="Arial" w:hAnsi="Arial" w:cs="Arial"/>
        </w:rPr>
        <w:t>and lack of</w:t>
      </w:r>
      <w:r w:rsidRPr="003A0F2E">
        <w:rPr>
          <w:rFonts w:ascii="Arial" w:hAnsi="Arial" w:cs="Arial"/>
        </w:rPr>
        <w:t xml:space="preserve"> coding across both primary care and secondary care, it is difficult to </w:t>
      </w:r>
      <w:r w:rsidR="00001545" w:rsidRPr="003A0F2E">
        <w:rPr>
          <w:rFonts w:ascii="Arial" w:hAnsi="Arial" w:cs="Arial"/>
        </w:rPr>
        <w:t>identify</w:t>
      </w:r>
      <w:r w:rsidRPr="003A0F2E">
        <w:rPr>
          <w:rFonts w:ascii="Arial" w:hAnsi="Arial" w:cs="Arial"/>
        </w:rPr>
        <w:t xml:space="preserve"> exact activity </w:t>
      </w:r>
      <w:r w:rsidR="003D3EDE" w:rsidRPr="003A0F2E">
        <w:rPr>
          <w:rFonts w:ascii="Arial" w:hAnsi="Arial" w:cs="Arial"/>
        </w:rPr>
        <w:t>for</w:t>
      </w:r>
      <w:r w:rsidRPr="003A0F2E">
        <w:rPr>
          <w:rFonts w:ascii="Arial" w:hAnsi="Arial" w:cs="Arial"/>
        </w:rPr>
        <w:t xml:space="preserve"> shared care </w:t>
      </w:r>
      <w:r w:rsidR="00E8106B" w:rsidRPr="003A0F2E">
        <w:rPr>
          <w:rFonts w:ascii="Arial" w:hAnsi="Arial" w:cs="Arial"/>
        </w:rPr>
        <w:t xml:space="preserve">in GM. </w:t>
      </w:r>
      <w:r w:rsidR="003D3EDE" w:rsidRPr="003A0F2E">
        <w:rPr>
          <w:rFonts w:ascii="Arial" w:hAnsi="Arial" w:cs="Arial"/>
        </w:rPr>
        <w:t>Prescribing d</w:t>
      </w:r>
      <w:r w:rsidR="00E8106B" w:rsidRPr="003A0F2E">
        <w:rPr>
          <w:rFonts w:ascii="Arial" w:hAnsi="Arial" w:cs="Arial"/>
        </w:rPr>
        <w:t xml:space="preserve">ata </w:t>
      </w:r>
      <w:r w:rsidR="00E06183" w:rsidRPr="003A0F2E">
        <w:rPr>
          <w:rFonts w:ascii="Arial" w:hAnsi="Arial" w:cs="Arial"/>
        </w:rPr>
        <w:t>was</w:t>
      </w:r>
      <w:r w:rsidR="00E8106B" w:rsidRPr="003A0F2E">
        <w:rPr>
          <w:rFonts w:ascii="Arial" w:hAnsi="Arial" w:cs="Arial"/>
        </w:rPr>
        <w:t xml:space="preserve"> taken from EPACT2 to provide indicative numbers: </w:t>
      </w:r>
    </w:p>
    <w:p w:rsidR="00E8106B" w:rsidRPr="003A0F2E" w:rsidRDefault="00E8106B" w:rsidP="005E0A14">
      <w:pPr>
        <w:rPr>
          <w:rFonts w:ascii="Arial" w:hAnsi="Arial" w:cs="Arial"/>
        </w:rPr>
      </w:pPr>
    </w:p>
    <w:p w:rsidR="00E8106B" w:rsidRPr="003A0F2E" w:rsidRDefault="00E8106B" w:rsidP="005E0A14">
      <w:pPr>
        <w:rPr>
          <w:rFonts w:ascii="Arial" w:hAnsi="Arial" w:cs="Arial"/>
        </w:rPr>
      </w:pPr>
      <w:r w:rsidRPr="003A0F2E">
        <w:rPr>
          <w:rFonts w:ascii="Arial" w:hAnsi="Arial" w:cs="Arial"/>
        </w:rPr>
        <w:t xml:space="preserve">Total shared care activity delivered by GP practices is </w:t>
      </w:r>
      <w:r w:rsidR="0060699F">
        <w:rPr>
          <w:rFonts w:ascii="Arial" w:hAnsi="Arial" w:cs="Arial"/>
        </w:rPr>
        <w:t>~</w:t>
      </w:r>
      <w:r w:rsidRPr="003A0F2E">
        <w:rPr>
          <w:rFonts w:ascii="Arial" w:hAnsi="Arial" w:cs="Arial"/>
        </w:rPr>
        <w:t>60,000 patients</w:t>
      </w:r>
    </w:p>
    <w:p w:rsidR="00E8106B" w:rsidRPr="003A0F2E" w:rsidRDefault="00E8106B" w:rsidP="005E0A14">
      <w:pPr>
        <w:rPr>
          <w:rFonts w:ascii="Arial" w:hAnsi="Arial" w:cs="Arial"/>
        </w:rPr>
      </w:pPr>
      <w:r w:rsidRPr="003A0F2E">
        <w:rPr>
          <w:rFonts w:ascii="Arial" w:hAnsi="Arial" w:cs="Arial"/>
        </w:rPr>
        <w:t xml:space="preserve">Breakdown includes: </w:t>
      </w:r>
    </w:p>
    <w:p w:rsidR="00E8106B" w:rsidRPr="003A0F2E" w:rsidRDefault="00E8106B" w:rsidP="005E0A14">
      <w:pPr>
        <w:rPr>
          <w:rFonts w:ascii="Arial" w:hAnsi="Arial" w:cs="Arial"/>
        </w:rPr>
      </w:pPr>
    </w:p>
    <w:tbl>
      <w:tblPr>
        <w:tblStyle w:val="TableGrid"/>
        <w:tblW w:w="0" w:type="auto"/>
        <w:tblLook w:val="04A0" w:firstRow="1" w:lastRow="0" w:firstColumn="1" w:lastColumn="0" w:noHBand="0" w:noVBand="1"/>
      </w:tblPr>
      <w:tblGrid>
        <w:gridCol w:w="5228"/>
        <w:gridCol w:w="5228"/>
      </w:tblGrid>
      <w:tr w:rsidR="003D3EDE" w:rsidRPr="003A0F2E" w:rsidTr="003D3EDE">
        <w:tc>
          <w:tcPr>
            <w:tcW w:w="5228" w:type="dxa"/>
            <w:shd w:val="clear" w:color="auto" w:fill="D9D9D9" w:themeFill="background1" w:themeFillShade="D9"/>
          </w:tcPr>
          <w:p w:rsidR="003D3EDE" w:rsidRPr="003A0F2E" w:rsidRDefault="003D3EDE" w:rsidP="005E0A14">
            <w:pPr>
              <w:rPr>
                <w:rFonts w:ascii="Arial" w:hAnsi="Arial" w:cs="Arial"/>
                <w:b/>
                <w:bCs/>
              </w:rPr>
            </w:pPr>
            <w:r w:rsidRPr="003A0F2E">
              <w:rPr>
                <w:rFonts w:ascii="Arial" w:hAnsi="Arial" w:cs="Arial"/>
                <w:b/>
                <w:bCs/>
              </w:rPr>
              <w:t>Shared care pathways (see appendix 1)</w:t>
            </w:r>
          </w:p>
        </w:tc>
        <w:tc>
          <w:tcPr>
            <w:tcW w:w="5228" w:type="dxa"/>
            <w:shd w:val="clear" w:color="auto" w:fill="D9D9D9" w:themeFill="background1" w:themeFillShade="D9"/>
          </w:tcPr>
          <w:p w:rsidR="003D3EDE" w:rsidRPr="003A0F2E" w:rsidRDefault="003D3EDE" w:rsidP="005E0A14">
            <w:pPr>
              <w:rPr>
                <w:rFonts w:ascii="Arial" w:hAnsi="Arial" w:cs="Arial"/>
                <w:b/>
                <w:bCs/>
              </w:rPr>
            </w:pPr>
            <w:r w:rsidRPr="003A0F2E">
              <w:rPr>
                <w:rFonts w:ascii="Arial" w:hAnsi="Arial" w:cs="Arial"/>
                <w:b/>
                <w:bCs/>
              </w:rPr>
              <w:t>Patients</w:t>
            </w:r>
          </w:p>
        </w:tc>
      </w:tr>
      <w:tr w:rsidR="00E8106B" w:rsidRPr="003A0F2E" w:rsidTr="00E8106B">
        <w:tc>
          <w:tcPr>
            <w:tcW w:w="5228" w:type="dxa"/>
          </w:tcPr>
          <w:p w:rsidR="00E8106B" w:rsidRPr="003A0F2E" w:rsidRDefault="00E8106B" w:rsidP="005E0A14">
            <w:pPr>
              <w:rPr>
                <w:rFonts w:ascii="Arial" w:hAnsi="Arial" w:cs="Arial"/>
              </w:rPr>
            </w:pPr>
            <w:r w:rsidRPr="003A0F2E">
              <w:rPr>
                <w:rFonts w:ascii="Arial" w:hAnsi="Arial" w:cs="Arial"/>
              </w:rPr>
              <w:t xml:space="preserve">Shared care medicines where pathways are under review </w:t>
            </w:r>
          </w:p>
        </w:tc>
        <w:tc>
          <w:tcPr>
            <w:tcW w:w="5228" w:type="dxa"/>
          </w:tcPr>
          <w:p w:rsidR="00E8106B" w:rsidRPr="003A0F2E" w:rsidRDefault="00E8106B" w:rsidP="005E0A14">
            <w:pPr>
              <w:rPr>
                <w:rFonts w:ascii="Arial" w:hAnsi="Arial" w:cs="Arial"/>
              </w:rPr>
            </w:pPr>
            <w:r w:rsidRPr="003A0F2E">
              <w:rPr>
                <w:rFonts w:ascii="Arial" w:hAnsi="Arial" w:cs="Arial"/>
              </w:rPr>
              <w:t>30,874</w:t>
            </w:r>
          </w:p>
        </w:tc>
      </w:tr>
      <w:tr w:rsidR="00E8106B" w:rsidRPr="003A0F2E" w:rsidTr="00E8106B">
        <w:tc>
          <w:tcPr>
            <w:tcW w:w="5228" w:type="dxa"/>
          </w:tcPr>
          <w:p w:rsidR="00E8106B" w:rsidRPr="003A0F2E" w:rsidRDefault="00E8106B" w:rsidP="005E0A14">
            <w:pPr>
              <w:rPr>
                <w:rFonts w:ascii="Arial" w:hAnsi="Arial" w:cs="Arial"/>
              </w:rPr>
            </w:pPr>
            <w:r w:rsidRPr="003A0F2E">
              <w:rPr>
                <w:rFonts w:ascii="Arial" w:hAnsi="Arial" w:cs="Arial"/>
              </w:rPr>
              <w:t>Shared care medicines where pathways are in place</w:t>
            </w:r>
          </w:p>
        </w:tc>
        <w:tc>
          <w:tcPr>
            <w:tcW w:w="5228" w:type="dxa"/>
          </w:tcPr>
          <w:p w:rsidR="00E8106B" w:rsidRPr="003A0F2E" w:rsidRDefault="00E8106B" w:rsidP="005E0A14">
            <w:pPr>
              <w:rPr>
                <w:rFonts w:ascii="Arial" w:hAnsi="Arial" w:cs="Arial"/>
              </w:rPr>
            </w:pPr>
            <w:r w:rsidRPr="003A0F2E">
              <w:rPr>
                <w:rFonts w:ascii="Arial" w:hAnsi="Arial" w:cs="Arial"/>
              </w:rPr>
              <w:t>28,102</w:t>
            </w:r>
          </w:p>
        </w:tc>
      </w:tr>
    </w:tbl>
    <w:p w:rsidR="00DE38AA" w:rsidRPr="003A0F2E" w:rsidRDefault="00DE38AA" w:rsidP="005E0A14">
      <w:pPr>
        <w:rPr>
          <w:rFonts w:ascii="Arial" w:hAnsi="Arial" w:cs="Arial"/>
          <w:b/>
          <w:bCs/>
          <w:u w:val="single"/>
        </w:rPr>
      </w:pPr>
    </w:p>
    <w:p w:rsidR="00E8106B" w:rsidRPr="003A0F2E" w:rsidRDefault="00E8106B" w:rsidP="005E0A14">
      <w:pPr>
        <w:rPr>
          <w:rFonts w:ascii="Arial" w:hAnsi="Arial" w:cs="Arial"/>
          <w:b/>
          <w:bCs/>
        </w:rPr>
      </w:pPr>
      <w:r w:rsidRPr="003A0F2E">
        <w:rPr>
          <w:rFonts w:ascii="Arial" w:hAnsi="Arial" w:cs="Arial"/>
          <w:b/>
          <w:bCs/>
        </w:rPr>
        <w:t>Caveats to the data:</w:t>
      </w:r>
    </w:p>
    <w:p w:rsidR="003D3EDE" w:rsidRPr="003A0F2E" w:rsidRDefault="003D3EDE" w:rsidP="003D3EDE">
      <w:pPr>
        <w:pStyle w:val="ListParagraph"/>
        <w:numPr>
          <w:ilvl w:val="0"/>
          <w:numId w:val="16"/>
        </w:numPr>
        <w:rPr>
          <w:rFonts w:ascii="Arial" w:hAnsi="Arial" w:cs="Arial"/>
        </w:rPr>
      </w:pPr>
      <w:r w:rsidRPr="003A0F2E">
        <w:rPr>
          <w:rFonts w:ascii="Arial" w:hAnsi="Arial" w:cs="Arial"/>
        </w:rPr>
        <w:t>The data identifies total number of people who received at least one prescription for one of the drugs</w:t>
      </w:r>
      <w:r w:rsidR="006F0F68" w:rsidRPr="003A0F2E">
        <w:rPr>
          <w:rFonts w:ascii="Arial" w:hAnsi="Arial" w:cs="Arial"/>
        </w:rPr>
        <w:t xml:space="preserve"> (appendix 1)</w:t>
      </w:r>
      <w:r w:rsidRPr="003A0F2E">
        <w:rPr>
          <w:rFonts w:ascii="Arial" w:hAnsi="Arial" w:cs="Arial"/>
        </w:rPr>
        <w:t xml:space="preserve"> in the 3 months </w:t>
      </w:r>
      <w:r w:rsidR="00E06183" w:rsidRPr="003A0F2E">
        <w:rPr>
          <w:rFonts w:ascii="Arial" w:hAnsi="Arial" w:cs="Arial"/>
        </w:rPr>
        <w:t>(</w:t>
      </w:r>
      <w:r w:rsidRPr="003A0F2E">
        <w:rPr>
          <w:rFonts w:ascii="Arial" w:hAnsi="Arial" w:cs="Arial"/>
        </w:rPr>
        <w:t>September – November 2024</w:t>
      </w:r>
      <w:r w:rsidR="00E06183" w:rsidRPr="003A0F2E">
        <w:rPr>
          <w:rFonts w:ascii="Arial" w:hAnsi="Arial" w:cs="Arial"/>
        </w:rPr>
        <w:t>)</w:t>
      </w:r>
      <w:r w:rsidRPr="003A0F2E">
        <w:rPr>
          <w:rFonts w:ascii="Arial" w:hAnsi="Arial" w:cs="Arial"/>
        </w:rPr>
        <w:t xml:space="preserve"> inclusive</w:t>
      </w:r>
    </w:p>
    <w:p w:rsidR="00E8106B" w:rsidRPr="003A0F2E" w:rsidRDefault="003D3EDE" w:rsidP="003D3EDE">
      <w:pPr>
        <w:pStyle w:val="ListParagraph"/>
        <w:numPr>
          <w:ilvl w:val="0"/>
          <w:numId w:val="16"/>
        </w:numPr>
        <w:rPr>
          <w:rFonts w:ascii="Arial" w:hAnsi="Arial" w:cs="Arial"/>
        </w:rPr>
      </w:pPr>
      <w:r w:rsidRPr="003A0F2E">
        <w:rPr>
          <w:rFonts w:ascii="Arial" w:hAnsi="Arial" w:cs="Arial"/>
        </w:rPr>
        <w:t>The data does not show clinical indication or dose, therefore prescribing may be outside of the shared care arrangement or assigned a different RAG status</w:t>
      </w:r>
    </w:p>
    <w:p w:rsidR="003D3EDE" w:rsidRPr="003A0F2E" w:rsidRDefault="003D3EDE" w:rsidP="003D3EDE">
      <w:pPr>
        <w:pStyle w:val="ListParagraph"/>
        <w:numPr>
          <w:ilvl w:val="0"/>
          <w:numId w:val="16"/>
        </w:numPr>
        <w:rPr>
          <w:rFonts w:ascii="Arial" w:hAnsi="Arial" w:cs="Arial"/>
        </w:rPr>
      </w:pPr>
      <w:r w:rsidRPr="003A0F2E">
        <w:rPr>
          <w:rFonts w:ascii="Arial" w:hAnsi="Arial" w:cs="Arial"/>
        </w:rPr>
        <w:t>It will not show activity that remains in secondary care</w:t>
      </w:r>
    </w:p>
    <w:p w:rsidR="00DE38AA" w:rsidRPr="003A0F2E" w:rsidRDefault="00DE38AA" w:rsidP="005E0A14">
      <w:pPr>
        <w:rPr>
          <w:rFonts w:ascii="Arial" w:hAnsi="Arial" w:cs="Arial"/>
          <w:b/>
          <w:bCs/>
          <w:u w:val="single"/>
        </w:rPr>
      </w:pPr>
    </w:p>
    <w:p w:rsidR="00AB789E" w:rsidRPr="003A0F2E" w:rsidRDefault="00F847CD" w:rsidP="005E0A14">
      <w:pPr>
        <w:rPr>
          <w:rFonts w:ascii="Arial" w:hAnsi="Arial" w:cs="Arial"/>
          <w:b/>
          <w:bCs/>
          <w:u w:val="single"/>
        </w:rPr>
      </w:pPr>
      <w:r w:rsidRPr="003A0F2E">
        <w:rPr>
          <w:rFonts w:ascii="Arial" w:hAnsi="Arial" w:cs="Arial"/>
          <w:b/>
          <w:bCs/>
          <w:u w:val="single"/>
        </w:rPr>
        <w:t>SCOM</w:t>
      </w:r>
      <w:r w:rsidR="00F9213B" w:rsidRPr="003A0F2E">
        <w:rPr>
          <w:rFonts w:ascii="Arial" w:hAnsi="Arial" w:cs="Arial"/>
          <w:b/>
          <w:bCs/>
          <w:u w:val="single"/>
        </w:rPr>
        <w:t xml:space="preserve"> Forerunner Scheme</w:t>
      </w:r>
      <w:r w:rsidRPr="003A0F2E">
        <w:rPr>
          <w:rFonts w:ascii="Arial" w:hAnsi="Arial" w:cs="Arial"/>
          <w:b/>
          <w:bCs/>
          <w:u w:val="single"/>
        </w:rPr>
        <w:t xml:space="preserve"> Proposal</w:t>
      </w:r>
      <w:r w:rsidR="00F9213B" w:rsidRPr="003A0F2E">
        <w:rPr>
          <w:rFonts w:ascii="Arial" w:hAnsi="Arial" w:cs="Arial"/>
          <w:b/>
          <w:bCs/>
          <w:u w:val="single"/>
        </w:rPr>
        <w:t xml:space="preserve"> for 25/26</w:t>
      </w:r>
    </w:p>
    <w:p w:rsidR="007D46D4" w:rsidRPr="003A0F2E" w:rsidRDefault="007D46D4" w:rsidP="005E0A14">
      <w:pPr>
        <w:rPr>
          <w:rFonts w:ascii="Arial" w:hAnsi="Arial" w:cs="Arial"/>
        </w:rPr>
      </w:pPr>
      <w:r w:rsidRPr="003A0F2E">
        <w:rPr>
          <w:rFonts w:ascii="Arial" w:hAnsi="Arial" w:cs="Arial"/>
        </w:rPr>
        <w:t>T</w:t>
      </w:r>
      <w:r w:rsidR="00F9213B" w:rsidRPr="003A0F2E">
        <w:rPr>
          <w:rFonts w:ascii="Arial" w:hAnsi="Arial" w:cs="Arial"/>
        </w:rPr>
        <w:t xml:space="preserve">he SCOM programme </w:t>
      </w:r>
      <w:r w:rsidR="00F847CD" w:rsidRPr="003A0F2E">
        <w:rPr>
          <w:rFonts w:ascii="Arial" w:hAnsi="Arial" w:cs="Arial"/>
        </w:rPr>
        <w:t>agreed</w:t>
      </w:r>
      <w:r w:rsidR="00E50ABC" w:rsidRPr="003A0F2E">
        <w:rPr>
          <w:rFonts w:ascii="Arial" w:hAnsi="Arial" w:cs="Arial"/>
        </w:rPr>
        <w:t xml:space="preserve"> the level of variation across primary care</w:t>
      </w:r>
      <w:r w:rsidR="00F847CD" w:rsidRPr="003A0F2E">
        <w:rPr>
          <w:rFonts w:ascii="Arial" w:hAnsi="Arial" w:cs="Arial"/>
        </w:rPr>
        <w:t xml:space="preserve"> </w:t>
      </w:r>
      <w:r w:rsidR="00E50ABC" w:rsidRPr="003A0F2E">
        <w:rPr>
          <w:rFonts w:ascii="Arial" w:hAnsi="Arial" w:cs="Arial"/>
        </w:rPr>
        <w:t xml:space="preserve">is </w:t>
      </w:r>
      <w:r w:rsidR="00F847CD" w:rsidRPr="003A0F2E">
        <w:rPr>
          <w:rFonts w:ascii="Arial" w:hAnsi="Arial" w:cs="Arial"/>
        </w:rPr>
        <w:t>unsustainable and</w:t>
      </w:r>
      <w:r w:rsidR="00E50ABC" w:rsidRPr="003A0F2E">
        <w:rPr>
          <w:rFonts w:ascii="Arial" w:hAnsi="Arial" w:cs="Arial"/>
        </w:rPr>
        <w:t xml:space="preserve"> will impact</w:t>
      </w:r>
      <w:r w:rsidRPr="003A0F2E">
        <w:rPr>
          <w:rFonts w:ascii="Arial" w:hAnsi="Arial" w:cs="Arial"/>
        </w:rPr>
        <w:t xml:space="preserve"> patient care </w:t>
      </w:r>
      <w:r w:rsidR="00E50ABC" w:rsidRPr="003A0F2E">
        <w:rPr>
          <w:rFonts w:ascii="Arial" w:hAnsi="Arial" w:cs="Arial"/>
        </w:rPr>
        <w:t xml:space="preserve">further if </w:t>
      </w:r>
      <w:r w:rsidRPr="003A0F2E">
        <w:rPr>
          <w:rFonts w:ascii="Arial" w:hAnsi="Arial" w:cs="Arial"/>
        </w:rPr>
        <w:t xml:space="preserve">arrangements remain the same. </w:t>
      </w:r>
    </w:p>
    <w:p w:rsidR="007D46D4" w:rsidRPr="003A0F2E" w:rsidRDefault="007D46D4" w:rsidP="005E0A14">
      <w:pPr>
        <w:rPr>
          <w:rFonts w:ascii="Arial" w:hAnsi="Arial" w:cs="Arial"/>
        </w:rPr>
      </w:pPr>
    </w:p>
    <w:p w:rsidR="00082CA4" w:rsidRPr="003A0F2E" w:rsidRDefault="00E50ABC" w:rsidP="005E0A14">
      <w:pPr>
        <w:rPr>
          <w:rFonts w:ascii="Arial" w:hAnsi="Arial" w:cs="Arial"/>
        </w:rPr>
      </w:pPr>
      <w:r w:rsidRPr="003A0F2E">
        <w:rPr>
          <w:rFonts w:ascii="Arial" w:hAnsi="Arial" w:cs="Arial"/>
        </w:rPr>
        <w:t xml:space="preserve">The programme </w:t>
      </w:r>
      <w:r w:rsidR="00EB36BD" w:rsidRPr="003A0F2E">
        <w:rPr>
          <w:rFonts w:ascii="Arial" w:hAnsi="Arial" w:cs="Arial"/>
        </w:rPr>
        <w:t>recognised</w:t>
      </w:r>
      <w:r w:rsidRPr="003A0F2E">
        <w:rPr>
          <w:rFonts w:ascii="Arial" w:hAnsi="Arial" w:cs="Arial"/>
        </w:rPr>
        <w:t xml:space="preserve"> </w:t>
      </w:r>
      <w:r w:rsidR="0035548A" w:rsidRPr="003A0F2E">
        <w:rPr>
          <w:rFonts w:ascii="Arial" w:hAnsi="Arial" w:cs="Arial"/>
        </w:rPr>
        <w:t>more time</w:t>
      </w:r>
      <w:r w:rsidR="00082CA4" w:rsidRPr="003A0F2E">
        <w:rPr>
          <w:rFonts w:ascii="Arial" w:hAnsi="Arial" w:cs="Arial"/>
        </w:rPr>
        <w:t xml:space="preserve"> </w:t>
      </w:r>
      <w:r w:rsidR="00F847CD" w:rsidRPr="003A0F2E">
        <w:rPr>
          <w:rFonts w:ascii="Arial" w:hAnsi="Arial" w:cs="Arial"/>
        </w:rPr>
        <w:t xml:space="preserve">is </w:t>
      </w:r>
      <w:r w:rsidR="00EB36BD" w:rsidRPr="003A0F2E">
        <w:rPr>
          <w:rFonts w:ascii="Arial" w:hAnsi="Arial" w:cs="Arial"/>
        </w:rPr>
        <w:t>needed</w:t>
      </w:r>
      <w:r w:rsidR="00F847CD" w:rsidRPr="003A0F2E">
        <w:rPr>
          <w:rFonts w:ascii="Arial" w:hAnsi="Arial" w:cs="Arial"/>
        </w:rPr>
        <w:t xml:space="preserve"> </w:t>
      </w:r>
      <w:r w:rsidR="00082CA4" w:rsidRPr="003A0F2E">
        <w:rPr>
          <w:rFonts w:ascii="Arial" w:hAnsi="Arial" w:cs="Arial"/>
        </w:rPr>
        <w:t xml:space="preserve">to progress </w:t>
      </w:r>
      <w:r w:rsidR="0035548A" w:rsidRPr="003A0F2E">
        <w:rPr>
          <w:rFonts w:ascii="Arial" w:hAnsi="Arial" w:cs="Arial"/>
        </w:rPr>
        <w:t xml:space="preserve">work with specialist services </w:t>
      </w:r>
      <w:r w:rsidR="00082CA4" w:rsidRPr="003A0F2E">
        <w:rPr>
          <w:rFonts w:ascii="Arial" w:hAnsi="Arial" w:cs="Arial"/>
        </w:rPr>
        <w:t>through</w:t>
      </w:r>
      <w:r w:rsidR="007D46D4" w:rsidRPr="003A0F2E">
        <w:rPr>
          <w:rFonts w:ascii="Arial" w:hAnsi="Arial" w:cs="Arial"/>
        </w:rPr>
        <w:t xml:space="preserve"> 25/26</w:t>
      </w:r>
      <w:r w:rsidR="00082CA4" w:rsidRPr="003A0F2E">
        <w:rPr>
          <w:rFonts w:ascii="Arial" w:hAnsi="Arial" w:cs="Arial"/>
        </w:rPr>
        <w:t xml:space="preserve"> to </w:t>
      </w:r>
      <w:r w:rsidR="00174B62" w:rsidRPr="003A0F2E">
        <w:rPr>
          <w:rFonts w:ascii="Arial" w:hAnsi="Arial" w:cs="Arial"/>
        </w:rPr>
        <w:t xml:space="preserve">address </w:t>
      </w:r>
      <w:r w:rsidR="00082CA4" w:rsidRPr="003A0F2E">
        <w:rPr>
          <w:rFonts w:ascii="Arial" w:hAnsi="Arial" w:cs="Arial"/>
        </w:rPr>
        <w:t>safety concerns and</w:t>
      </w:r>
      <w:r w:rsidR="0035548A" w:rsidRPr="003A0F2E">
        <w:rPr>
          <w:rFonts w:ascii="Arial" w:hAnsi="Arial" w:cs="Arial"/>
        </w:rPr>
        <w:t xml:space="preserve"> the</w:t>
      </w:r>
      <w:r w:rsidR="00082CA4" w:rsidRPr="003A0F2E">
        <w:rPr>
          <w:rFonts w:ascii="Arial" w:hAnsi="Arial" w:cs="Arial"/>
        </w:rPr>
        <w:t xml:space="preserve"> barriers </w:t>
      </w:r>
      <w:r w:rsidR="0035548A" w:rsidRPr="003A0F2E">
        <w:rPr>
          <w:rFonts w:ascii="Arial" w:hAnsi="Arial" w:cs="Arial"/>
        </w:rPr>
        <w:t xml:space="preserve">when </w:t>
      </w:r>
      <w:r w:rsidR="00082CA4" w:rsidRPr="003A0F2E">
        <w:rPr>
          <w:rFonts w:ascii="Arial" w:hAnsi="Arial" w:cs="Arial"/>
        </w:rPr>
        <w:t>implementing effective shared care pathways</w:t>
      </w:r>
      <w:r w:rsidR="007D46D4" w:rsidRPr="003A0F2E">
        <w:rPr>
          <w:rFonts w:ascii="Arial" w:hAnsi="Arial" w:cs="Arial"/>
        </w:rPr>
        <w:t>.</w:t>
      </w:r>
    </w:p>
    <w:p w:rsidR="007D46D4" w:rsidRPr="003A0F2E" w:rsidRDefault="007D46D4" w:rsidP="005E0A14">
      <w:pPr>
        <w:rPr>
          <w:rFonts w:ascii="Arial" w:hAnsi="Arial" w:cs="Arial"/>
        </w:rPr>
      </w:pPr>
    </w:p>
    <w:p w:rsidR="00082CA4" w:rsidRPr="003A0F2E" w:rsidRDefault="007D46D4" w:rsidP="005E0A14">
      <w:pPr>
        <w:rPr>
          <w:rFonts w:ascii="Arial" w:hAnsi="Arial" w:cs="Arial"/>
        </w:rPr>
      </w:pPr>
      <w:r w:rsidRPr="003A0F2E">
        <w:rPr>
          <w:rFonts w:ascii="Arial" w:hAnsi="Arial" w:cs="Arial"/>
        </w:rPr>
        <w:t>Consequently, a forerunner scheme is proposed</w:t>
      </w:r>
      <w:r w:rsidR="00B86D08" w:rsidRPr="003A0F2E">
        <w:rPr>
          <w:rFonts w:ascii="Arial" w:hAnsi="Arial" w:cs="Arial"/>
        </w:rPr>
        <w:t xml:space="preserve"> that</w:t>
      </w:r>
      <w:r w:rsidR="006F1779" w:rsidRPr="003A0F2E">
        <w:rPr>
          <w:rFonts w:ascii="Arial" w:hAnsi="Arial" w:cs="Arial"/>
        </w:rPr>
        <w:t xml:space="preserve"> acknowledg</w:t>
      </w:r>
      <w:r w:rsidR="00B86D08" w:rsidRPr="003A0F2E">
        <w:rPr>
          <w:rFonts w:ascii="Arial" w:hAnsi="Arial" w:cs="Arial"/>
        </w:rPr>
        <w:t>es</w:t>
      </w:r>
      <w:r w:rsidR="006F1779" w:rsidRPr="003A0F2E">
        <w:rPr>
          <w:rFonts w:ascii="Arial" w:hAnsi="Arial" w:cs="Arial"/>
        </w:rPr>
        <w:t xml:space="preserve"> further work </w:t>
      </w:r>
      <w:r w:rsidR="00B86D08" w:rsidRPr="003A0F2E">
        <w:rPr>
          <w:rFonts w:ascii="Arial" w:hAnsi="Arial" w:cs="Arial"/>
        </w:rPr>
        <w:t xml:space="preserve">needs to continue </w:t>
      </w:r>
      <w:r w:rsidR="0035548A" w:rsidRPr="003A0F2E">
        <w:rPr>
          <w:rFonts w:ascii="Arial" w:hAnsi="Arial" w:cs="Arial"/>
        </w:rPr>
        <w:t xml:space="preserve">during </w:t>
      </w:r>
      <w:r w:rsidR="00BE28B0" w:rsidRPr="003A0F2E">
        <w:rPr>
          <w:rFonts w:ascii="Arial" w:hAnsi="Arial" w:cs="Arial"/>
        </w:rPr>
        <w:t>25/26 but</w:t>
      </w:r>
      <w:r w:rsidR="003160DD" w:rsidRPr="003A0F2E">
        <w:rPr>
          <w:rFonts w:ascii="Arial" w:hAnsi="Arial" w:cs="Arial"/>
        </w:rPr>
        <w:t xml:space="preserve"> enables all localities to move towards a more consistent </w:t>
      </w:r>
      <w:r w:rsidR="00174B62" w:rsidRPr="003A0F2E">
        <w:rPr>
          <w:rFonts w:ascii="Arial" w:hAnsi="Arial" w:cs="Arial"/>
        </w:rPr>
        <w:t>approach to delivery</w:t>
      </w:r>
      <w:r w:rsidR="003160DD" w:rsidRPr="003A0F2E">
        <w:rPr>
          <w:rFonts w:ascii="Arial" w:hAnsi="Arial" w:cs="Arial"/>
        </w:rPr>
        <w:t>. Thus</w:t>
      </w:r>
      <w:r w:rsidR="00D81DC5" w:rsidRPr="003A0F2E">
        <w:rPr>
          <w:rFonts w:ascii="Arial" w:hAnsi="Arial" w:cs="Arial"/>
        </w:rPr>
        <w:t>,</w:t>
      </w:r>
      <w:r w:rsidR="003160DD" w:rsidRPr="003A0F2E">
        <w:rPr>
          <w:rFonts w:ascii="Arial" w:hAnsi="Arial" w:cs="Arial"/>
        </w:rPr>
        <w:t xml:space="preserve"> the proposed scheme will:</w:t>
      </w:r>
    </w:p>
    <w:p w:rsidR="001F7A2C" w:rsidRPr="003A0F2E" w:rsidRDefault="007D46D4" w:rsidP="001B2F21">
      <w:pPr>
        <w:pStyle w:val="ListParagraph"/>
        <w:numPr>
          <w:ilvl w:val="0"/>
          <w:numId w:val="3"/>
        </w:numPr>
        <w:rPr>
          <w:rFonts w:ascii="Arial" w:hAnsi="Arial" w:cs="Arial"/>
        </w:rPr>
      </w:pPr>
      <w:r w:rsidRPr="003A0F2E">
        <w:rPr>
          <w:rFonts w:ascii="Arial" w:hAnsi="Arial" w:cs="Arial"/>
        </w:rPr>
        <w:t>Start moving</w:t>
      </w:r>
      <w:r w:rsidR="00672612" w:rsidRPr="003A0F2E">
        <w:rPr>
          <w:rFonts w:ascii="Arial" w:hAnsi="Arial" w:cs="Arial"/>
        </w:rPr>
        <w:t xml:space="preserve"> GP </w:t>
      </w:r>
      <w:r w:rsidR="001A5517">
        <w:rPr>
          <w:rFonts w:ascii="Arial" w:hAnsi="Arial" w:cs="Arial"/>
        </w:rPr>
        <w:t>p</w:t>
      </w:r>
      <w:r w:rsidR="003D69DC">
        <w:rPr>
          <w:rFonts w:ascii="Arial" w:hAnsi="Arial" w:cs="Arial"/>
        </w:rPr>
        <w:t>ractices</w:t>
      </w:r>
      <w:r w:rsidRPr="003A0F2E">
        <w:rPr>
          <w:rFonts w:ascii="Arial" w:hAnsi="Arial" w:cs="Arial"/>
        </w:rPr>
        <w:t xml:space="preserve"> towards a more consistent approach to </w:t>
      </w:r>
      <w:r w:rsidR="00672612" w:rsidRPr="003A0F2E">
        <w:rPr>
          <w:rFonts w:ascii="Arial" w:hAnsi="Arial" w:cs="Arial"/>
        </w:rPr>
        <w:t xml:space="preserve">deliver </w:t>
      </w:r>
      <w:r w:rsidRPr="003A0F2E">
        <w:rPr>
          <w:rFonts w:ascii="Arial" w:hAnsi="Arial" w:cs="Arial"/>
        </w:rPr>
        <w:t>SCOM services in primary care</w:t>
      </w:r>
      <w:r w:rsidR="0035548A" w:rsidRPr="003A0F2E">
        <w:rPr>
          <w:rFonts w:ascii="Arial" w:hAnsi="Arial" w:cs="Arial"/>
        </w:rPr>
        <w:t>.</w:t>
      </w:r>
    </w:p>
    <w:p w:rsidR="007D46D4" w:rsidRPr="003A0F2E" w:rsidRDefault="007D46D4" w:rsidP="007D46D4">
      <w:pPr>
        <w:pStyle w:val="ListParagraph"/>
        <w:numPr>
          <w:ilvl w:val="0"/>
          <w:numId w:val="3"/>
        </w:numPr>
        <w:rPr>
          <w:rFonts w:ascii="Arial" w:hAnsi="Arial" w:cs="Arial"/>
        </w:rPr>
      </w:pPr>
      <w:r w:rsidRPr="003A0F2E">
        <w:rPr>
          <w:rFonts w:ascii="Arial" w:hAnsi="Arial" w:cs="Arial"/>
        </w:rPr>
        <w:t xml:space="preserve">address the variation in funding </w:t>
      </w:r>
      <w:r w:rsidR="001F7A2C" w:rsidRPr="003A0F2E">
        <w:rPr>
          <w:rFonts w:ascii="Arial" w:hAnsi="Arial" w:cs="Arial"/>
        </w:rPr>
        <w:t xml:space="preserve">arrangements for new and current/existing shared care </w:t>
      </w:r>
      <w:r w:rsidRPr="003A0F2E">
        <w:rPr>
          <w:rFonts w:ascii="Arial" w:hAnsi="Arial" w:cs="Arial"/>
        </w:rPr>
        <w:t>across localities</w:t>
      </w:r>
      <w:r w:rsidR="008E2996">
        <w:rPr>
          <w:rFonts w:ascii="Arial" w:hAnsi="Arial" w:cs="Arial"/>
        </w:rPr>
        <w:t xml:space="preserve"> (see appendix 2)</w:t>
      </w:r>
      <w:r w:rsidR="001B2F21">
        <w:rPr>
          <w:rFonts w:ascii="Arial" w:hAnsi="Arial" w:cs="Arial"/>
        </w:rPr>
        <w:t>.</w:t>
      </w:r>
    </w:p>
    <w:p w:rsidR="006519BF" w:rsidRPr="003A0F2E" w:rsidRDefault="006F1779" w:rsidP="005E0A14">
      <w:pPr>
        <w:pStyle w:val="ListParagraph"/>
        <w:numPr>
          <w:ilvl w:val="0"/>
          <w:numId w:val="3"/>
        </w:numPr>
        <w:rPr>
          <w:rFonts w:ascii="Arial" w:hAnsi="Arial" w:cs="Arial"/>
        </w:rPr>
      </w:pPr>
      <w:r w:rsidRPr="003A0F2E">
        <w:rPr>
          <w:rFonts w:ascii="Arial" w:hAnsi="Arial" w:cs="Arial"/>
        </w:rPr>
        <w:t xml:space="preserve">enable GP </w:t>
      </w:r>
      <w:r w:rsidR="001A5517">
        <w:rPr>
          <w:rFonts w:ascii="Arial" w:hAnsi="Arial" w:cs="Arial"/>
        </w:rPr>
        <w:t>p</w:t>
      </w:r>
      <w:r w:rsidR="0035548A" w:rsidRPr="003A0F2E">
        <w:rPr>
          <w:rFonts w:ascii="Arial" w:hAnsi="Arial" w:cs="Arial"/>
        </w:rPr>
        <w:t>r</w:t>
      </w:r>
      <w:r w:rsidR="003D69DC">
        <w:rPr>
          <w:rFonts w:ascii="Arial" w:hAnsi="Arial" w:cs="Arial"/>
        </w:rPr>
        <w:t>actices</w:t>
      </w:r>
      <w:r w:rsidRPr="003A0F2E">
        <w:rPr>
          <w:rFonts w:ascii="Arial" w:hAnsi="Arial" w:cs="Arial"/>
        </w:rPr>
        <w:t xml:space="preserve"> to </w:t>
      </w:r>
      <w:r w:rsidR="0035548A" w:rsidRPr="003A0F2E">
        <w:rPr>
          <w:rFonts w:ascii="Arial" w:hAnsi="Arial" w:cs="Arial"/>
        </w:rPr>
        <w:t>provide cr</w:t>
      </w:r>
      <w:r w:rsidR="00B86D08" w:rsidRPr="003A0F2E">
        <w:rPr>
          <w:rFonts w:ascii="Arial" w:hAnsi="Arial" w:cs="Arial"/>
        </w:rPr>
        <w:t>itica</w:t>
      </w:r>
      <w:r w:rsidR="0035548A" w:rsidRPr="003A0F2E">
        <w:rPr>
          <w:rFonts w:ascii="Arial" w:hAnsi="Arial" w:cs="Arial"/>
        </w:rPr>
        <w:t xml:space="preserve">l information to enable </w:t>
      </w:r>
      <w:r w:rsidRPr="003A0F2E">
        <w:rPr>
          <w:rFonts w:ascii="Arial" w:hAnsi="Arial" w:cs="Arial"/>
        </w:rPr>
        <w:t xml:space="preserve">the re-design of </w:t>
      </w:r>
      <w:r w:rsidR="00180473" w:rsidRPr="003A0F2E">
        <w:rPr>
          <w:rFonts w:ascii="Arial" w:hAnsi="Arial" w:cs="Arial"/>
        </w:rPr>
        <w:t>a</w:t>
      </w:r>
      <w:r w:rsidRPr="003A0F2E">
        <w:rPr>
          <w:rFonts w:ascii="Arial" w:hAnsi="Arial" w:cs="Arial"/>
        </w:rPr>
        <w:t xml:space="preserve"> consistent SCOM scheme for 26/27</w:t>
      </w:r>
      <w:r w:rsidR="0035548A" w:rsidRPr="003A0F2E">
        <w:rPr>
          <w:rFonts w:ascii="Arial" w:hAnsi="Arial" w:cs="Arial"/>
        </w:rPr>
        <w:t>.</w:t>
      </w:r>
    </w:p>
    <w:p w:rsidR="0035548A" w:rsidRDefault="0035548A" w:rsidP="0035548A">
      <w:pPr>
        <w:pStyle w:val="ListParagraph"/>
        <w:numPr>
          <w:ilvl w:val="0"/>
          <w:numId w:val="3"/>
        </w:numPr>
        <w:rPr>
          <w:rFonts w:ascii="Arial" w:hAnsi="Arial" w:cs="Arial"/>
        </w:rPr>
      </w:pPr>
      <w:r w:rsidRPr="003A0F2E">
        <w:rPr>
          <w:rFonts w:ascii="Arial" w:hAnsi="Arial" w:cs="Arial"/>
        </w:rPr>
        <w:t xml:space="preserve">Allow GP </w:t>
      </w:r>
      <w:r w:rsidR="001A5517">
        <w:rPr>
          <w:rFonts w:ascii="Arial" w:hAnsi="Arial" w:cs="Arial"/>
        </w:rPr>
        <w:t>p</w:t>
      </w:r>
      <w:r w:rsidR="003D69DC">
        <w:rPr>
          <w:rFonts w:ascii="Arial" w:hAnsi="Arial" w:cs="Arial"/>
        </w:rPr>
        <w:t>ractices</w:t>
      </w:r>
      <w:r w:rsidRPr="003A0F2E">
        <w:rPr>
          <w:rFonts w:ascii="Arial" w:hAnsi="Arial" w:cs="Arial"/>
        </w:rPr>
        <w:t xml:space="preserve"> to accept </w:t>
      </w:r>
      <w:r w:rsidR="00F847CD" w:rsidRPr="003A0F2E">
        <w:rPr>
          <w:rFonts w:ascii="Arial" w:hAnsi="Arial" w:cs="Arial"/>
        </w:rPr>
        <w:t xml:space="preserve">new and </w:t>
      </w:r>
      <w:r w:rsidRPr="003A0F2E">
        <w:rPr>
          <w:rFonts w:ascii="Arial" w:hAnsi="Arial" w:cs="Arial"/>
        </w:rPr>
        <w:t>improved shared care arrangements and pathways during the year</w:t>
      </w:r>
      <w:r w:rsidR="00975871">
        <w:rPr>
          <w:rFonts w:ascii="Arial" w:hAnsi="Arial" w:cs="Arial"/>
        </w:rPr>
        <w:t xml:space="preserve"> where appropriate</w:t>
      </w:r>
      <w:r w:rsidR="00F847CD" w:rsidRPr="003A0F2E">
        <w:rPr>
          <w:rFonts w:ascii="Arial" w:hAnsi="Arial" w:cs="Arial"/>
        </w:rPr>
        <w:t xml:space="preserve">. </w:t>
      </w:r>
    </w:p>
    <w:p w:rsidR="00975871" w:rsidRPr="003A0F2E" w:rsidRDefault="00975871" w:rsidP="0035548A">
      <w:pPr>
        <w:pStyle w:val="ListParagraph"/>
        <w:numPr>
          <w:ilvl w:val="0"/>
          <w:numId w:val="3"/>
        </w:numPr>
        <w:rPr>
          <w:rFonts w:ascii="Arial" w:hAnsi="Arial" w:cs="Arial"/>
        </w:rPr>
      </w:pPr>
      <w:r>
        <w:rPr>
          <w:rFonts w:ascii="Arial" w:hAnsi="Arial" w:cs="Arial"/>
        </w:rPr>
        <w:t xml:space="preserve">Allow GP </w:t>
      </w:r>
      <w:r w:rsidR="001A5517">
        <w:rPr>
          <w:rFonts w:ascii="Arial" w:hAnsi="Arial" w:cs="Arial"/>
        </w:rPr>
        <w:t>p</w:t>
      </w:r>
      <w:r w:rsidR="003D69DC">
        <w:rPr>
          <w:rFonts w:ascii="Arial" w:hAnsi="Arial" w:cs="Arial"/>
        </w:rPr>
        <w:t>ractices</w:t>
      </w:r>
      <w:r>
        <w:rPr>
          <w:rFonts w:ascii="Arial" w:hAnsi="Arial" w:cs="Arial"/>
        </w:rPr>
        <w:t xml:space="preserve"> to accept or continue shared care arrangements where concerns may still exist but the risks can be managed during 25/26 </w:t>
      </w:r>
    </w:p>
    <w:p w:rsidR="0035548A" w:rsidRPr="003A0F2E" w:rsidRDefault="0035548A" w:rsidP="0035548A">
      <w:pPr>
        <w:rPr>
          <w:rFonts w:ascii="Arial" w:hAnsi="Arial" w:cs="Arial"/>
        </w:rPr>
      </w:pPr>
    </w:p>
    <w:p w:rsidR="007207FF" w:rsidRPr="003A0F2E" w:rsidRDefault="005E0A14" w:rsidP="005E0A14">
      <w:pPr>
        <w:rPr>
          <w:rFonts w:ascii="Arial" w:hAnsi="Arial" w:cs="Arial"/>
          <w:b/>
          <w:bCs/>
          <w:u w:val="single"/>
        </w:rPr>
      </w:pPr>
      <w:r w:rsidRPr="003A0F2E">
        <w:rPr>
          <w:rFonts w:ascii="Arial" w:hAnsi="Arial" w:cs="Arial"/>
          <w:b/>
          <w:bCs/>
          <w:u w:val="single"/>
        </w:rPr>
        <w:t xml:space="preserve">Approach </w:t>
      </w:r>
    </w:p>
    <w:p w:rsidR="005E0A14" w:rsidRPr="003A0F2E" w:rsidRDefault="006F1779" w:rsidP="005E0A14">
      <w:pPr>
        <w:rPr>
          <w:rFonts w:ascii="Arial" w:hAnsi="Arial" w:cs="Arial"/>
        </w:rPr>
      </w:pPr>
      <w:r w:rsidRPr="003A0F2E">
        <w:rPr>
          <w:rFonts w:ascii="Arial" w:hAnsi="Arial" w:cs="Arial"/>
        </w:rPr>
        <w:t>Th</w:t>
      </w:r>
      <w:r w:rsidR="007207FF" w:rsidRPr="003A0F2E">
        <w:rPr>
          <w:rFonts w:ascii="Arial" w:hAnsi="Arial" w:cs="Arial"/>
        </w:rPr>
        <w:t>is</w:t>
      </w:r>
      <w:r w:rsidRPr="003A0F2E">
        <w:rPr>
          <w:rFonts w:ascii="Arial" w:hAnsi="Arial" w:cs="Arial"/>
        </w:rPr>
        <w:t xml:space="preserve"> specification focuses on enabling GP practices to deliver the requirements of </w:t>
      </w:r>
      <w:r w:rsidR="00814271" w:rsidRPr="003A0F2E">
        <w:rPr>
          <w:rFonts w:ascii="Arial" w:hAnsi="Arial" w:cs="Arial"/>
        </w:rPr>
        <w:t xml:space="preserve">shared care (amber) medicines that are listed on the Greater Manchester Medicines Management (GMMMG) website </w:t>
      </w:r>
      <w:hyperlink r:id="rId11" w:history="1">
        <w:r w:rsidR="00814271" w:rsidRPr="003A0F2E">
          <w:rPr>
            <w:rStyle w:val="Hyperlink"/>
            <w:rFonts w:ascii="Arial" w:hAnsi="Arial" w:cs="Arial"/>
          </w:rPr>
          <w:t>RAG List – GMMMG</w:t>
        </w:r>
      </w:hyperlink>
      <w:r w:rsidR="00814271" w:rsidRPr="003A0F2E">
        <w:rPr>
          <w:rFonts w:ascii="Arial" w:hAnsi="Arial" w:cs="Arial"/>
        </w:rPr>
        <w:t xml:space="preserve">. </w:t>
      </w:r>
    </w:p>
    <w:p w:rsidR="00814271" w:rsidRPr="003A0F2E" w:rsidRDefault="00814271" w:rsidP="005E0A14">
      <w:pPr>
        <w:rPr>
          <w:rFonts w:ascii="Arial" w:hAnsi="Arial" w:cs="Arial"/>
          <w:b/>
          <w:bCs/>
          <w:u w:val="single"/>
        </w:rPr>
      </w:pPr>
    </w:p>
    <w:p w:rsidR="00814271" w:rsidRPr="003A0F2E" w:rsidRDefault="00814271" w:rsidP="005E0A14">
      <w:pPr>
        <w:rPr>
          <w:rFonts w:ascii="Arial" w:hAnsi="Arial" w:cs="Arial"/>
        </w:rPr>
      </w:pPr>
      <w:r w:rsidRPr="003A0F2E">
        <w:rPr>
          <w:rFonts w:ascii="Arial" w:hAnsi="Arial" w:cs="Arial"/>
        </w:rPr>
        <w:t xml:space="preserve">The monitoring requirements and management of both medicine and clinical condition </w:t>
      </w:r>
      <w:r w:rsidR="00174B62" w:rsidRPr="003A0F2E">
        <w:rPr>
          <w:rFonts w:ascii="Arial" w:hAnsi="Arial" w:cs="Arial"/>
        </w:rPr>
        <w:t>are</w:t>
      </w:r>
      <w:r w:rsidRPr="003A0F2E">
        <w:rPr>
          <w:rFonts w:ascii="Arial" w:hAnsi="Arial" w:cs="Arial"/>
        </w:rPr>
        <w:t xml:space="preserve"> set out </w:t>
      </w:r>
      <w:r w:rsidR="007207FF" w:rsidRPr="003A0F2E">
        <w:rPr>
          <w:rFonts w:ascii="Arial" w:hAnsi="Arial" w:cs="Arial"/>
        </w:rPr>
        <w:t xml:space="preserve">in each </w:t>
      </w:r>
      <w:hyperlink r:id="rId12" w:history="1">
        <w:r w:rsidR="007207FF" w:rsidRPr="003A0F2E">
          <w:rPr>
            <w:rStyle w:val="Hyperlink"/>
            <w:rFonts w:ascii="Arial" w:hAnsi="Arial" w:cs="Arial"/>
          </w:rPr>
          <w:t>GMMMG</w:t>
        </w:r>
        <w:r w:rsidRPr="003A0F2E">
          <w:rPr>
            <w:rStyle w:val="Hyperlink"/>
            <w:rFonts w:ascii="Arial" w:hAnsi="Arial" w:cs="Arial"/>
          </w:rPr>
          <w:t xml:space="preserve"> shared care protocol</w:t>
        </w:r>
      </w:hyperlink>
      <w:r w:rsidR="007207FF" w:rsidRPr="003A0F2E">
        <w:rPr>
          <w:rFonts w:ascii="Arial" w:hAnsi="Arial" w:cs="Arial"/>
        </w:rPr>
        <w:t xml:space="preserve">. </w:t>
      </w:r>
    </w:p>
    <w:p w:rsidR="006C6282" w:rsidRPr="003A0F2E" w:rsidRDefault="006C6282" w:rsidP="006C6282">
      <w:pPr>
        <w:rPr>
          <w:rFonts w:ascii="Arial" w:hAnsi="Arial" w:cs="Arial"/>
        </w:rPr>
      </w:pPr>
    </w:p>
    <w:p w:rsidR="006C6282" w:rsidRPr="003A0F2E" w:rsidRDefault="006C6282" w:rsidP="006C6282">
      <w:pPr>
        <w:rPr>
          <w:rFonts w:ascii="Arial" w:hAnsi="Arial" w:cs="Arial"/>
        </w:rPr>
      </w:pPr>
      <w:r w:rsidRPr="003A0F2E">
        <w:rPr>
          <w:rFonts w:ascii="Arial" w:hAnsi="Arial" w:cs="Arial"/>
        </w:rPr>
        <w:t>This is a transition year</w:t>
      </w:r>
      <w:r w:rsidR="006519BF" w:rsidRPr="003A0F2E">
        <w:rPr>
          <w:rFonts w:ascii="Arial" w:hAnsi="Arial" w:cs="Arial"/>
        </w:rPr>
        <w:t>,</w:t>
      </w:r>
      <w:r w:rsidRPr="003A0F2E">
        <w:rPr>
          <w:rFonts w:ascii="Arial" w:hAnsi="Arial" w:cs="Arial"/>
        </w:rPr>
        <w:t xml:space="preserve"> moving from locality </w:t>
      </w:r>
      <w:r w:rsidR="00B86D08" w:rsidRPr="003A0F2E">
        <w:rPr>
          <w:rFonts w:ascii="Arial" w:hAnsi="Arial" w:cs="Arial"/>
        </w:rPr>
        <w:t>specific</w:t>
      </w:r>
      <w:r w:rsidRPr="003A0F2E">
        <w:rPr>
          <w:rFonts w:ascii="Arial" w:hAnsi="Arial" w:cs="Arial"/>
        </w:rPr>
        <w:t xml:space="preserve"> </w:t>
      </w:r>
      <w:r w:rsidR="00D81DC5" w:rsidRPr="003A0F2E">
        <w:rPr>
          <w:rFonts w:ascii="Arial" w:hAnsi="Arial" w:cs="Arial"/>
        </w:rPr>
        <w:t xml:space="preserve">shared care </w:t>
      </w:r>
      <w:r w:rsidRPr="003A0F2E">
        <w:rPr>
          <w:rFonts w:ascii="Arial" w:hAnsi="Arial" w:cs="Arial"/>
        </w:rPr>
        <w:t>schemes towards consistency</w:t>
      </w:r>
      <w:r w:rsidR="004B502B" w:rsidRPr="003A0F2E">
        <w:rPr>
          <w:rFonts w:ascii="Arial" w:hAnsi="Arial" w:cs="Arial"/>
        </w:rPr>
        <w:t xml:space="preserve"> in 26/27.</w:t>
      </w:r>
      <w:r w:rsidR="00D94AC5" w:rsidRPr="003A0F2E">
        <w:rPr>
          <w:rFonts w:ascii="Arial" w:hAnsi="Arial" w:cs="Arial"/>
        </w:rPr>
        <w:t xml:space="preserve"> All current schemes will be stood down in place of this</w:t>
      </w:r>
      <w:r w:rsidR="00276584" w:rsidRPr="003A0F2E">
        <w:rPr>
          <w:rFonts w:ascii="Arial" w:hAnsi="Arial" w:cs="Arial"/>
        </w:rPr>
        <w:t xml:space="preserve"> where appropriate;  there are some localities that offer arrangements over and above </w:t>
      </w:r>
      <w:r w:rsidR="004B1E7E" w:rsidRPr="003A0F2E">
        <w:rPr>
          <w:rFonts w:ascii="Arial" w:hAnsi="Arial" w:cs="Arial"/>
        </w:rPr>
        <w:t>this scheme</w:t>
      </w:r>
      <w:r w:rsidR="00276584" w:rsidRPr="003A0F2E">
        <w:rPr>
          <w:rFonts w:ascii="Arial" w:hAnsi="Arial" w:cs="Arial"/>
        </w:rPr>
        <w:t>. The aim is not to disrupt these arrangements until a full re-design takes place</w:t>
      </w:r>
      <w:r w:rsidR="003A0F2E">
        <w:rPr>
          <w:rFonts w:ascii="Arial" w:hAnsi="Arial" w:cs="Arial"/>
        </w:rPr>
        <w:t xml:space="preserve"> for 26/27</w:t>
      </w:r>
      <w:r w:rsidR="00276584" w:rsidRPr="003A0F2E">
        <w:rPr>
          <w:rFonts w:ascii="Arial" w:hAnsi="Arial" w:cs="Arial"/>
        </w:rPr>
        <w:t>.</w:t>
      </w:r>
      <w:r w:rsidR="006519BF" w:rsidRPr="003A0F2E">
        <w:rPr>
          <w:rFonts w:ascii="Arial" w:hAnsi="Arial" w:cs="Arial"/>
        </w:rPr>
        <w:t xml:space="preserve"> This </w:t>
      </w:r>
      <w:r w:rsidR="002A174E">
        <w:rPr>
          <w:rFonts w:ascii="Arial" w:hAnsi="Arial" w:cs="Arial"/>
        </w:rPr>
        <w:t xml:space="preserve">transition </w:t>
      </w:r>
      <w:r w:rsidR="006519BF" w:rsidRPr="003A0F2E">
        <w:rPr>
          <w:rFonts w:ascii="Arial" w:hAnsi="Arial" w:cs="Arial"/>
        </w:rPr>
        <w:t>scheme will also focus on identifying key information to enable the development and commissioning of the 26/27 scheme.  Therefore, t</w:t>
      </w:r>
      <w:r w:rsidRPr="003A0F2E">
        <w:rPr>
          <w:rFonts w:ascii="Arial" w:hAnsi="Arial" w:cs="Arial"/>
        </w:rPr>
        <w:t xml:space="preserve">he targets in this specification are set recognising that further work needs to be undertaken to address safety concerns and </w:t>
      </w:r>
      <w:r w:rsidR="00180473" w:rsidRPr="003A0F2E">
        <w:rPr>
          <w:rFonts w:ascii="Arial" w:hAnsi="Arial" w:cs="Arial"/>
        </w:rPr>
        <w:t xml:space="preserve">optimise </w:t>
      </w:r>
      <w:r w:rsidRPr="003A0F2E">
        <w:rPr>
          <w:rFonts w:ascii="Arial" w:hAnsi="Arial" w:cs="Arial"/>
        </w:rPr>
        <w:t>pathways whil</w:t>
      </w:r>
      <w:r w:rsidR="006A37FF" w:rsidRPr="003A0F2E">
        <w:rPr>
          <w:rFonts w:ascii="Arial" w:hAnsi="Arial" w:cs="Arial"/>
        </w:rPr>
        <w:t>st</w:t>
      </w:r>
      <w:r w:rsidRPr="003A0F2E">
        <w:rPr>
          <w:rFonts w:ascii="Arial" w:hAnsi="Arial" w:cs="Arial"/>
        </w:rPr>
        <w:t xml:space="preserve"> inform</w:t>
      </w:r>
      <w:r w:rsidR="006A37FF" w:rsidRPr="003A0F2E">
        <w:rPr>
          <w:rFonts w:ascii="Arial" w:hAnsi="Arial" w:cs="Arial"/>
        </w:rPr>
        <w:t>ing</w:t>
      </w:r>
      <w:r w:rsidRPr="003A0F2E">
        <w:rPr>
          <w:rFonts w:ascii="Arial" w:hAnsi="Arial" w:cs="Arial"/>
        </w:rPr>
        <w:t xml:space="preserve"> the re-design of a new scheme in 26/27. </w:t>
      </w:r>
    </w:p>
    <w:p w:rsidR="006C6282" w:rsidRPr="003A0F2E" w:rsidRDefault="006C6282" w:rsidP="006C6282">
      <w:pPr>
        <w:rPr>
          <w:rFonts w:ascii="Arial" w:hAnsi="Arial" w:cs="Arial"/>
        </w:rPr>
      </w:pPr>
    </w:p>
    <w:p w:rsidR="007207FF" w:rsidRPr="003A0F2E" w:rsidRDefault="006C6282" w:rsidP="005E0A14">
      <w:pPr>
        <w:rPr>
          <w:rFonts w:ascii="Arial" w:hAnsi="Arial" w:cs="Arial"/>
        </w:rPr>
      </w:pPr>
      <w:r w:rsidRPr="003A0F2E">
        <w:rPr>
          <w:rFonts w:ascii="Arial" w:hAnsi="Arial" w:cs="Arial"/>
        </w:rPr>
        <w:t xml:space="preserve">An option is presented, costed with a financial place holder of </w:t>
      </w:r>
      <w:r w:rsidR="00DE38AA" w:rsidRPr="003A0F2E">
        <w:rPr>
          <w:rFonts w:ascii="Arial" w:hAnsi="Arial" w:cs="Arial"/>
          <w:b/>
          <w:bCs/>
        </w:rPr>
        <w:t>£0.90 php</w:t>
      </w:r>
      <w:r w:rsidRPr="003A0F2E">
        <w:rPr>
          <w:rFonts w:ascii="Arial" w:hAnsi="Arial" w:cs="Arial"/>
        </w:rPr>
        <w:t xml:space="preserve">. </w:t>
      </w:r>
    </w:p>
    <w:p w:rsidR="00180473" w:rsidRPr="003A0F2E" w:rsidRDefault="00180473" w:rsidP="005E0A14">
      <w:pPr>
        <w:rPr>
          <w:rFonts w:ascii="Arial" w:hAnsi="Arial" w:cs="Arial"/>
        </w:rPr>
      </w:pPr>
    </w:p>
    <w:p w:rsidR="00DE38AA" w:rsidRPr="003A0F2E" w:rsidRDefault="00DE38AA" w:rsidP="00DE38AA">
      <w:pPr>
        <w:rPr>
          <w:rFonts w:ascii="Arial" w:hAnsi="Arial" w:cs="Arial"/>
          <w:i/>
          <w:iCs/>
        </w:rPr>
      </w:pPr>
      <w:r w:rsidRPr="003A0F2E">
        <w:rPr>
          <w:rFonts w:ascii="Arial" w:hAnsi="Arial" w:cs="Arial"/>
          <w:i/>
          <w:iCs/>
        </w:rPr>
        <w:t xml:space="preserve">It is inferred that by delivering this </w:t>
      </w:r>
      <w:r w:rsidR="00EB36BD" w:rsidRPr="003A0F2E">
        <w:rPr>
          <w:rFonts w:ascii="Arial" w:hAnsi="Arial" w:cs="Arial"/>
          <w:i/>
          <w:iCs/>
        </w:rPr>
        <w:t xml:space="preserve">forerunner </w:t>
      </w:r>
      <w:r w:rsidRPr="003A0F2E">
        <w:rPr>
          <w:rFonts w:ascii="Arial" w:hAnsi="Arial" w:cs="Arial"/>
          <w:i/>
          <w:iCs/>
        </w:rPr>
        <w:t>scheme it will</w:t>
      </w:r>
      <w:r w:rsidR="001B2F21">
        <w:rPr>
          <w:rFonts w:ascii="Arial" w:hAnsi="Arial" w:cs="Arial"/>
          <w:i/>
          <w:iCs/>
        </w:rPr>
        <w:t xml:space="preserve"> enable GP </w:t>
      </w:r>
      <w:r w:rsidR="001A5517">
        <w:rPr>
          <w:rFonts w:ascii="Arial" w:hAnsi="Arial" w:cs="Arial"/>
          <w:i/>
          <w:iCs/>
        </w:rPr>
        <w:t>p</w:t>
      </w:r>
      <w:r w:rsidR="001B2F21">
        <w:rPr>
          <w:rFonts w:ascii="Arial" w:hAnsi="Arial" w:cs="Arial"/>
          <w:i/>
          <w:iCs/>
        </w:rPr>
        <w:t>r</w:t>
      </w:r>
      <w:r w:rsidR="003D69DC">
        <w:rPr>
          <w:rFonts w:ascii="Arial" w:hAnsi="Arial" w:cs="Arial"/>
          <w:i/>
          <w:iCs/>
        </w:rPr>
        <w:t>actices</w:t>
      </w:r>
      <w:r w:rsidR="001B2F21">
        <w:rPr>
          <w:rFonts w:ascii="Arial" w:hAnsi="Arial" w:cs="Arial"/>
          <w:i/>
          <w:iCs/>
        </w:rPr>
        <w:t xml:space="preserve"> to</w:t>
      </w:r>
      <w:r w:rsidRPr="003A0F2E">
        <w:rPr>
          <w:rFonts w:ascii="Arial" w:hAnsi="Arial" w:cs="Arial"/>
          <w:i/>
          <w:iCs/>
        </w:rPr>
        <w:t xml:space="preserve">: </w:t>
      </w:r>
    </w:p>
    <w:p w:rsidR="00DE38AA" w:rsidRDefault="00DE38AA" w:rsidP="00DE38AA">
      <w:pPr>
        <w:pStyle w:val="ListParagraph"/>
        <w:numPr>
          <w:ilvl w:val="0"/>
          <w:numId w:val="15"/>
        </w:numPr>
        <w:rPr>
          <w:rFonts w:ascii="Arial" w:hAnsi="Arial" w:cs="Arial"/>
          <w:i/>
          <w:iCs/>
        </w:rPr>
      </w:pPr>
      <w:r w:rsidRPr="003A0F2E">
        <w:rPr>
          <w:rFonts w:ascii="Arial" w:hAnsi="Arial" w:cs="Arial"/>
          <w:i/>
          <w:iCs/>
        </w:rPr>
        <w:t>accept</w:t>
      </w:r>
      <w:r w:rsidR="001B2F21">
        <w:rPr>
          <w:rFonts w:ascii="Arial" w:hAnsi="Arial" w:cs="Arial"/>
          <w:i/>
          <w:iCs/>
        </w:rPr>
        <w:t xml:space="preserve"> new</w:t>
      </w:r>
      <w:r w:rsidRPr="003A0F2E">
        <w:rPr>
          <w:rFonts w:ascii="Arial" w:hAnsi="Arial" w:cs="Arial"/>
          <w:i/>
          <w:iCs/>
        </w:rPr>
        <w:t xml:space="preserve"> shared care of medicines requests and deliver the responsibilities set out in GMMMG SCPs where the arrangement is considered safe and appropriate. </w:t>
      </w:r>
    </w:p>
    <w:p w:rsidR="001B2F21" w:rsidRDefault="001B2F21" w:rsidP="00DE38AA">
      <w:pPr>
        <w:pStyle w:val="ListParagraph"/>
        <w:numPr>
          <w:ilvl w:val="0"/>
          <w:numId w:val="15"/>
        </w:numPr>
        <w:rPr>
          <w:rFonts w:ascii="Arial" w:hAnsi="Arial" w:cs="Arial"/>
          <w:i/>
          <w:iCs/>
        </w:rPr>
      </w:pPr>
      <w:r>
        <w:rPr>
          <w:rFonts w:ascii="Arial" w:hAnsi="Arial" w:cs="Arial"/>
          <w:i/>
          <w:iCs/>
        </w:rPr>
        <w:t>continue to prescribe and provide ongoing monitoring of shared care medicines where it is considered safe and appropriate.</w:t>
      </w:r>
    </w:p>
    <w:p w:rsidR="001B2F21" w:rsidRPr="00937F3B" w:rsidRDefault="001B2F21" w:rsidP="002A174E">
      <w:pPr>
        <w:pStyle w:val="ListParagraph"/>
        <w:numPr>
          <w:ilvl w:val="0"/>
          <w:numId w:val="15"/>
        </w:numPr>
        <w:rPr>
          <w:rFonts w:ascii="Arial" w:hAnsi="Arial" w:cs="Arial"/>
          <w:i/>
          <w:iCs/>
        </w:rPr>
      </w:pPr>
      <w:r>
        <w:rPr>
          <w:rFonts w:ascii="Arial" w:hAnsi="Arial" w:cs="Arial"/>
          <w:i/>
          <w:iCs/>
        </w:rPr>
        <w:t xml:space="preserve">continue to prescribe and provide ongoing monitoring where concerns with SCOM pathways exist but </w:t>
      </w:r>
      <w:r w:rsidR="00B636F0">
        <w:rPr>
          <w:rFonts w:ascii="Arial" w:hAnsi="Arial" w:cs="Arial"/>
          <w:i/>
          <w:iCs/>
        </w:rPr>
        <w:t xml:space="preserve">GP practices </w:t>
      </w:r>
      <w:r w:rsidRPr="00937F3B">
        <w:rPr>
          <w:rFonts w:ascii="Arial" w:hAnsi="Arial" w:cs="Arial"/>
          <w:i/>
          <w:iCs/>
        </w:rPr>
        <w:t xml:space="preserve">can manage the concerns and risks safely during </w:t>
      </w:r>
      <w:r w:rsidR="002A174E">
        <w:rPr>
          <w:rFonts w:ascii="Arial" w:hAnsi="Arial" w:cs="Arial"/>
          <w:i/>
          <w:iCs/>
        </w:rPr>
        <w:t xml:space="preserve">the transition year of </w:t>
      </w:r>
      <w:r w:rsidRPr="00937F3B">
        <w:rPr>
          <w:rFonts w:ascii="Arial" w:hAnsi="Arial" w:cs="Arial"/>
          <w:i/>
          <w:iCs/>
        </w:rPr>
        <w:t xml:space="preserve">25/26 in the best interest of the patient. </w:t>
      </w:r>
    </w:p>
    <w:p w:rsidR="001B2F21" w:rsidRDefault="00DE38AA" w:rsidP="00DE38AA">
      <w:pPr>
        <w:pStyle w:val="ListParagraph"/>
        <w:numPr>
          <w:ilvl w:val="0"/>
          <w:numId w:val="15"/>
        </w:numPr>
        <w:rPr>
          <w:rFonts w:ascii="Arial" w:hAnsi="Arial" w:cs="Arial"/>
          <w:i/>
          <w:iCs/>
        </w:rPr>
      </w:pPr>
      <w:r w:rsidRPr="003A0F2E">
        <w:rPr>
          <w:rFonts w:ascii="Arial" w:hAnsi="Arial" w:cs="Arial"/>
          <w:i/>
          <w:iCs/>
        </w:rPr>
        <w:t>provide critical information</w:t>
      </w:r>
      <w:r w:rsidR="001B2F21">
        <w:rPr>
          <w:rFonts w:ascii="Arial" w:hAnsi="Arial" w:cs="Arial"/>
          <w:i/>
          <w:iCs/>
        </w:rPr>
        <w:t xml:space="preserve"> on SCOM pathways that are unsafe and require a review during 25/26</w:t>
      </w:r>
    </w:p>
    <w:p w:rsidR="00DE38AA" w:rsidRPr="003A0F2E" w:rsidRDefault="00DE38AA" w:rsidP="00DE38AA">
      <w:pPr>
        <w:pStyle w:val="ListParagraph"/>
        <w:numPr>
          <w:ilvl w:val="0"/>
          <w:numId w:val="15"/>
        </w:numPr>
        <w:rPr>
          <w:rFonts w:ascii="Arial" w:hAnsi="Arial" w:cs="Arial"/>
          <w:i/>
          <w:iCs/>
        </w:rPr>
      </w:pPr>
      <w:r w:rsidRPr="003A0F2E">
        <w:rPr>
          <w:rFonts w:ascii="Arial" w:hAnsi="Arial" w:cs="Arial"/>
          <w:i/>
          <w:iCs/>
        </w:rPr>
        <w:t xml:space="preserve">inform the commissioning arrangements for 26/27, including: </w:t>
      </w:r>
    </w:p>
    <w:p w:rsidR="00DE38AA" w:rsidRPr="003A0F2E" w:rsidRDefault="00DE38AA" w:rsidP="00DE38AA">
      <w:pPr>
        <w:pStyle w:val="ListParagraph"/>
        <w:numPr>
          <w:ilvl w:val="1"/>
          <w:numId w:val="15"/>
        </w:numPr>
        <w:rPr>
          <w:rFonts w:ascii="Arial" w:hAnsi="Arial" w:cs="Arial"/>
          <w:i/>
          <w:iCs/>
        </w:rPr>
      </w:pPr>
      <w:r w:rsidRPr="003A0F2E">
        <w:rPr>
          <w:rFonts w:ascii="Arial" w:hAnsi="Arial" w:cs="Arial"/>
          <w:i/>
          <w:iCs/>
        </w:rPr>
        <w:t>to generate an understand</w:t>
      </w:r>
      <w:r w:rsidR="002A174E">
        <w:rPr>
          <w:rFonts w:ascii="Arial" w:hAnsi="Arial" w:cs="Arial"/>
          <w:i/>
          <w:iCs/>
        </w:rPr>
        <w:t>ing of</w:t>
      </w:r>
      <w:r w:rsidRPr="003A0F2E">
        <w:rPr>
          <w:rFonts w:ascii="Arial" w:hAnsi="Arial" w:cs="Arial"/>
          <w:i/>
          <w:iCs/>
        </w:rPr>
        <w:t xml:space="preserve"> actual activity in GP practices</w:t>
      </w:r>
    </w:p>
    <w:p w:rsidR="00DE38AA" w:rsidRPr="003A0F2E" w:rsidRDefault="00DE38AA" w:rsidP="003A0F2E">
      <w:pPr>
        <w:pStyle w:val="ListParagraph"/>
        <w:ind w:left="1440"/>
        <w:rPr>
          <w:rFonts w:ascii="Arial" w:hAnsi="Arial" w:cs="Arial"/>
          <w:i/>
          <w:iCs/>
        </w:rPr>
      </w:pPr>
    </w:p>
    <w:p w:rsidR="007207FF" w:rsidRPr="003A0F2E" w:rsidRDefault="007207FF" w:rsidP="005E0A14">
      <w:pPr>
        <w:rPr>
          <w:rFonts w:ascii="Arial" w:hAnsi="Arial" w:cs="Arial"/>
        </w:rPr>
      </w:pPr>
    </w:p>
    <w:p w:rsidR="00180473" w:rsidRPr="003A0F2E" w:rsidRDefault="00FF427C" w:rsidP="00FF427C">
      <w:pPr>
        <w:rPr>
          <w:rFonts w:ascii="Arial" w:hAnsi="Arial" w:cs="Arial"/>
          <w:b/>
          <w:bCs/>
          <w:u w:val="single"/>
        </w:rPr>
      </w:pPr>
      <w:r w:rsidRPr="003A0F2E">
        <w:rPr>
          <w:rFonts w:ascii="Arial" w:hAnsi="Arial" w:cs="Arial"/>
          <w:b/>
          <w:bCs/>
          <w:u w:val="single"/>
        </w:rPr>
        <w:t>Component 1</w:t>
      </w:r>
      <w:r w:rsidR="003077F5" w:rsidRPr="003A0F2E">
        <w:rPr>
          <w:rFonts w:ascii="Arial" w:hAnsi="Arial" w:cs="Arial"/>
          <w:b/>
          <w:bCs/>
          <w:u w:val="single"/>
        </w:rPr>
        <w:t>.</w:t>
      </w:r>
      <w:r w:rsidRPr="003A0F2E">
        <w:rPr>
          <w:rFonts w:ascii="Arial" w:hAnsi="Arial" w:cs="Arial"/>
          <w:b/>
          <w:bCs/>
          <w:u w:val="single"/>
        </w:rPr>
        <w:t xml:space="preserve"> </w:t>
      </w:r>
      <w:r w:rsidR="00975871">
        <w:rPr>
          <w:rFonts w:ascii="Arial" w:hAnsi="Arial" w:cs="Arial"/>
          <w:b/>
          <w:bCs/>
          <w:u w:val="single"/>
        </w:rPr>
        <w:t>Assurance that</w:t>
      </w:r>
      <w:r w:rsidR="00335568" w:rsidRPr="003A0F2E">
        <w:rPr>
          <w:rFonts w:ascii="Arial" w:hAnsi="Arial" w:cs="Arial"/>
          <w:b/>
          <w:bCs/>
          <w:u w:val="single"/>
        </w:rPr>
        <w:t xml:space="preserve"> </w:t>
      </w:r>
      <w:r w:rsidR="00180473" w:rsidRPr="003A0F2E">
        <w:rPr>
          <w:rFonts w:ascii="Arial" w:hAnsi="Arial" w:cs="Arial"/>
          <w:b/>
          <w:bCs/>
          <w:u w:val="single"/>
        </w:rPr>
        <w:t xml:space="preserve">shared care of medicines </w:t>
      </w:r>
      <w:r w:rsidR="00975871">
        <w:rPr>
          <w:rFonts w:ascii="Arial" w:hAnsi="Arial" w:cs="Arial"/>
          <w:b/>
          <w:bCs/>
          <w:u w:val="single"/>
        </w:rPr>
        <w:t>can be delivered</w:t>
      </w:r>
      <w:r w:rsidR="00180473" w:rsidRPr="003A0F2E">
        <w:rPr>
          <w:rFonts w:ascii="Arial" w:hAnsi="Arial" w:cs="Arial"/>
          <w:b/>
          <w:bCs/>
          <w:u w:val="single"/>
        </w:rPr>
        <w:t xml:space="preserve"> </w:t>
      </w:r>
    </w:p>
    <w:p w:rsidR="006C6282" w:rsidRPr="003A0F2E" w:rsidRDefault="006C6282" w:rsidP="005E0A14">
      <w:pPr>
        <w:rPr>
          <w:rFonts w:ascii="Arial" w:hAnsi="Arial" w:cs="Arial"/>
          <w:b/>
          <w:bCs/>
          <w:u w:val="single"/>
        </w:rPr>
      </w:pPr>
    </w:p>
    <w:p w:rsidR="006A37FF" w:rsidRPr="003A0F2E" w:rsidRDefault="006A37FF" w:rsidP="005E0A14">
      <w:pPr>
        <w:rPr>
          <w:rFonts w:ascii="Arial" w:hAnsi="Arial" w:cs="Arial"/>
          <w:i/>
          <w:iCs/>
        </w:rPr>
      </w:pPr>
      <w:r w:rsidRPr="003A0F2E">
        <w:rPr>
          <w:rFonts w:ascii="Arial" w:hAnsi="Arial" w:cs="Arial"/>
          <w:i/>
          <w:iCs/>
        </w:rPr>
        <w:t>Delivery:</w:t>
      </w:r>
    </w:p>
    <w:p w:rsidR="00AE7DFA" w:rsidRPr="003A0F2E" w:rsidRDefault="004B1E7E" w:rsidP="005E0A14">
      <w:pPr>
        <w:rPr>
          <w:rFonts w:ascii="Arial" w:hAnsi="Arial" w:cs="Arial"/>
          <w:b/>
          <w:bCs/>
        </w:rPr>
      </w:pPr>
      <w:r w:rsidRPr="003A0F2E">
        <w:rPr>
          <w:rFonts w:ascii="Arial" w:hAnsi="Arial" w:cs="Arial"/>
          <w:b/>
          <w:bCs/>
        </w:rPr>
        <w:t>1a</w:t>
      </w:r>
      <w:r w:rsidR="001B2F21">
        <w:rPr>
          <w:rFonts w:ascii="Arial" w:hAnsi="Arial" w:cs="Arial"/>
          <w:b/>
          <w:bCs/>
        </w:rPr>
        <w:t xml:space="preserve">) </w:t>
      </w:r>
      <w:r w:rsidR="00AE7DFA" w:rsidRPr="003A0F2E">
        <w:rPr>
          <w:rFonts w:ascii="Arial" w:hAnsi="Arial" w:cs="Arial"/>
          <w:b/>
          <w:bCs/>
        </w:rPr>
        <w:t xml:space="preserve">Review </w:t>
      </w:r>
      <w:r w:rsidR="00FC345C" w:rsidRPr="003A0F2E">
        <w:rPr>
          <w:rFonts w:ascii="Arial" w:hAnsi="Arial" w:cs="Arial"/>
          <w:b/>
          <w:bCs/>
        </w:rPr>
        <w:t xml:space="preserve">new </w:t>
      </w:r>
      <w:r w:rsidR="00AE7DFA" w:rsidRPr="003A0F2E">
        <w:rPr>
          <w:rFonts w:ascii="Arial" w:hAnsi="Arial" w:cs="Arial"/>
          <w:b/>
          <w:bCs/>
        </w:rPr>
        <w:t>shared care request</w:t>
      </w:r>
      <w:r w:rsidR="00EB36BD" w:rsidRPr="003A0F2E">
        <w:rPr>
          <w:rFonts w:ascii="Arial" w:hAnsi="Arial" w:cs="Arial"/>
          <w:b/>
          <w:bCs/>
        </w:rPr>
        <w:t>s</w:t>
      </w:r>
    </w:p>
    <w:p w:rsidR="009956EC" w:rsidRPr="003A0F2E" w:rsidRDefault="00AE7DFA">
      <w:pPr>
        <w:pStyle w:val="ListParagraph"/>
        <w:numPr>
          <w:ilvl w:val="0"/>
          <w:numId w:val="4"/>
        </w:numPr>
        <w:rPr>
          <w:rFonts w:ascii="Arial" w:hAnsi="Arial" w:cs="Arial"/>
          <w:b/>
          <w:bCs/>
        </w:rPr>
      </w:pPr>
      <w:r w:rsidRPr="003A0F2E">
        <w:rPr>
          <w:rFonts w:ascii="Arial" w:hAnsi="Arial" w:cs="Arial"/>
        </w:rPr>
        <w:t>GP practice to review</w:t>
      </w:r>
      <w:r w:rsidR="00FC345C" w:rsidRPr="003A0F2E">
        <w:rPr>
          <w:rFonts w:ascii="Arial" w:hAnsi="Arial" w:cs="Arial"/>
        </w:rPr>
        <w:t xml:space="preserve"> new</w:t>
      </w:r>
      <w:r w:rsidRPr="003A0F2E">
        <w:rPr>
          <w:rFonts w:ascii="Arial" w:hAnsi="Arial" w:cs="Arial"/>
        </w:rPr>
        <w:t xml:space="preserve"> </w:t>
      </w:r>
      <w:r w:rsidR="006A37FF" w:rsidRPr="003A0F2E">
        <w:rPr>
          <w:rFonts w:ascii="Arial" w:hAnsi="Arial" w:cs="Arial"/>
        </w:rPr>
        <w:t>shared care medicine requests</w:t>
      </w:r>
      <w:r w:rsidR="00180473" w:rsidRPr="003A0F2E">
        <w:rPr>
          <w:rFonts w:ascii="Arial" w:hAnsi="Arial" w:cs="Arial"/>
        </w:rPr>
        <w:t xml:space="preserve"> </w:t>
      </w:r>
      <w:r w:rsidR="006A37FF" w:rsidRPr="003A0F2E">
        <w:rPr>
          <w:rFonts w:ascii="Arial" w:hAnsi="Arial" w:cs="Arial"/>
        </w:rPr>
        <w:t xml:space="preserve">from </w:t>
      </w:r>
      <w:r w:rsidR="004B502B" w:rsidRPr="003A0F2E">
        <w:rPr>
          <w:rFonts w:ascii="Arial" w:hAnsi="Arial" w:cs="Arial"/>
        </w:rPr>
        <w:t>specialist services</w:t>
      </w:r>
      <w:r w:rsidR="006A37FF" w:rsidRPr="003A0F2E">
        <w:rPr>
          <w:rFonts w:ascii="Arial" w:hAnsi="Arial" w:cs="Arial"/>
        </w:rPr>
        <w:t xml:space="preserve"> </w:t>
      </w:r>
    </w:p>
    <w:p w:rsidR="009956EC" w:rsidRPr="003A0F2E" w:rsidRDefault="009956EC">
      <w:pPr>
        <w:pStyle w:val="ListParagraph"/>
        <w:numPr>
          <w:ilvl w:val="0"/>
          <w:numId w:val="4"/>
        </w:numPr>
        <w:rPr>
          <w:rFonts w:ascii="Arial" w:hAnsi="Arial" w:cs="Arial"/>
          <w:b/>
          <w:bCs/>
        </w:rPr>
      </w:pPr>
      <w:r w:rsidRPr="003A0F2E">
        <w:rPr>
          <w:rFonts w:ascii="Arial" w:hAnsi="Arial" w:cs="Arial"/>
        </w:rPr>
        <w:t xml:space="preserve">GP </w:t>
      </w:r>
      <w:r w:rsidR="001A5517">
        <w:rPr>
          <w:rFonts w:ascii="Arial" w:hAnsi="Arial" w:cs="Arial"/>
        </w:rPr>
        <w:t>p</w:t>
      </w:r>
      <w:r w:rsidRPr="003A0F2E">
        <w:rPr>
          <w:rFonts w:ascii="Arial" w:hAnsi="Arial" w:cs="Arial"/>
        </w:rPr>
        <w:t>ractice to decide to accept or decline</w:t>
      </w:r>
      <w:r w:rsidR="00975871">
        <w:rPr>
          <w:rFonts w:ascii="Arial" w:hAnsi="Arial" w:cs="Arial"/>
        </w:rPr>
        <w:t xml:space="preserve"> new</w:t>
      </w:r>
      <w:r w:rsidRPr="003A0F2E">
        <w:rPr>
          <w:rFonts w:ascii="Arial" w:hAnsi="Arial" w:cs="Arial"/>
        </w:rPr>
        <w:t xml:space="preserve"> shared care request</w:t>
      </w:r>
      <w:r w:rsidR="009C1D87" w:rsidRPr="003A0F2E">
        <w:rPr>
          <w:rFonts w:ascii="Arial" w:hAnsi="Arial" w:cs="Arial"/>
        </w:rPr>
        <w:t>s</w:t>
      </w:r>
      <w:r w:rsidRPr="003A0F2E">
        <w:rPr>
          <w:rFonts w:ascii="Arial" w:hAnsi="Arial" w:cs="Arial"/>
        </w:rPr>
        <w:t xml:space="preserve"> </w:t>
      </w:r>
    </w:p>
    <w:p w:rsidR="009956EC" w:rsidRPr="003A0F2E" w:rsidRDefault="009956EC" w:rsidP="009956EC">
      <w:pPr>
        <w:rPr>
          <w:rFonts w:ascii="Arial" w:hAnsi="Arial" w:cs="Arial"/>
          <w:b/>
          <w:bCs/>
        </w:rPr>
      </w:pPr>
    </w:p>
    <w:p w:rsidR="004B502B" w:rsidRPr="003A0F2E" w:rsidRDefault="004B1E7E" w:rsidP="009956EC">
      <w:pPr>
        <w:rPr>
          <w:rFonts w:ascii="Arial" w:hAnsi="Arial" w:cs="Arial"/>
          <w:b/>
          <w:bCs/>
        </w:rPr>
      </w:pPr>
      <w:r w:rsidRPr="003A0F2E">
        <w:rPr>
          <w:rFonts w:ascii="Arial" w:hAnsi="Arial" w:cs="Arial"/>
          <w:b/>
          <w:bCs/>
        </w:rPr>
        <w:t>1b</w:t>
      </w:r>
      <w:r w:rsidR="001B2F21">
        <w:rPr>
          <w:rFonts w:ascii="Arial" w:hAnsi="Arial" w:cs="Arial"/>
          <w:b/>
          <w:bCs/>
        </w:rPr>
        <w:t>)</w:t>
      </w:r>
      <w:r w:rsidRPr="003A0F2E">
        <w:rPr>
          <w:rFonts w:ascii="Arial" w:hAnsi="Arial" w:cs="Arial"/>
          <w:b/>
          <w:bCs/>
        </w:rPr>
        <w:t xml:space="preserve"> </w:t>
      </w:r>
      <w:r w:rsidR="004B502B" w:rsidRPr="003A0F2E">
        <w:rPr>
          <w:rFonts w:ascii="Arial" w:hAnsi="Arial" w:cs="Arial"/>
          <w:b/>
          <w:bCs/>
        </w:rPr>
        <w:t>Agreeing to</w:t>
      </w:r>
      <w:r w:rsidR="009F2221" w:rsidRPr="003A0F2E">
        <w:rPr>
          <w:rFonts w:ascii="Arial" w:hAnsi="Arial" w:cs="Arial"/>
          <w:b/>
          <w:bCs/>
        </w:rPr>
        <w:t xml:space="preserve"> initiating</w:t>
      </w:r>
      <w:r w:rsidR="00FC345C" w:rsidRPr="003A0F2E">
        <w:rPr>
          <w:rFonts w:ascii="Arial" w:hAnsi="Arial" w:cs="Arial"/>
          <w:b/>
          <w:bCs/>
        </w:rPr>
        <w:t xml:space="preserve"> new</w:t>
      </w:r>
      <w:r w:rsidR="004B502B" w:rsidRPr="003A0F2E">
        <w:rPr>
          <w:rFonts w:ascii="Arial" w:hAnsi="Arial" w:cs="Arial"/>
          <w:b/>
          <w:bCs/>
        </w:rPr>
        <w:t xml:space="preserve"> </w:t>
      </w:r>
      <w:r w:rsidR="009F2221" w:rsidRPr="003A0F2E">
        <w:rPr>
          <w:rFonts w:ascii="Arial" w:hAnsi="Arial" w:cs="Arial"/>
          <w:b/>
          <w:bCs/>
        </w:rPr>
        <w:t>s</w:t>
      </w:r>
      <w:r w:rsidR="004B502B" w:rsidRPr="003A0F2E">
        <w:rPr>
          <w:rFonts w:ascii="Arial" w:hAnsi="Arial" w:cs="Arial"/>
          <w:b/>
          <w:bCs/>
        </w:rPr>
        <w:t xml:space="preserve">hared </w:t>
      </w:r>
      <w:r w:rsidR="009F2221" w:rsidRPr="003A0F2E">
        <w:rPr>
          <w:rFonts w:ascii="Arial" w:hAnsi="Arial" w:cs="Arial"/>
          <w:b/>
          <w:bCs/>
        </w:rPr>
        <w:t>c</w:t>
      </w:r>
      <w:r w:rsidR="004B502B" w:rsidRPr="003A0F2E">
        <w:rPr>
          <w:rFonts w:ascii="Arial" w:hAnsi="Arial" w:cs="Arial"/>
          <w:b/>
          <w:bCs/>
        </w:rPr>
        <w:t>are:</w:t>
      </w:r>
    </w:p>
    <w:p w:rsidR="004B502B" w:rsidRPr="003A0F2E" w:rsidRDefault="006A37FF" w:rsidP="007D39E1">
      <w:pPr>
        <w:pStyle w:val="ListParagraph"/>
        <w:numPr>
          <w:ilvl w:val="0"/>
          <w:numId w:val="4"/>
        </w:numPr>
        <w:rPr>
          <w:rFonts w:ascii="Arial" w:hAnsi="Arial" w:cs="Arial"/>
        </w:rPr>
      </w:pPr>
      <w:r w:rsidRPr="003A0F2E">
        <w:rPr>
          <w:rFonts w:ascii="Arial" w:hAnsi="Arial" w:cs="Arial"/>
        </w:rPr>
        <w:t>Agreement will be made between the specialist service and</w:t>
      </w:r>
      <w:r w:rsidR="004B502B" w:rsidRPr="003A0F2E">
        <w:rPr>
          <w:rFonts w:ascii="Arial" w:hAnsi="Arial" w:cs="Arial"/>
        </w:rPr>
        <w:t xml:space="preserve"> the</w:t>
      </w:r>
      <w:r w:rsidRPr="003A0F2E">
        <w:rPr>
          <w:rFonts w:ascii="Arial" w:hAnsi="Arial" w:cs="Arial"/>
        </w:rPr>
        <w:t xml:space="preserve"> GP </w:t>
      </w:r>
      <w:r w:rsidR="00170EAA" w:rsidRPr="003A0F2E">
        <w:rPr>
          <w:rFonts w:ascii="Arial" w:hAnsi="Arial" w:cs="Arial"/>
        </w:rPr>
        <w:t>practice</w:t>
      </w:r>
      <w:r w:rsidR="00745783" w:rsidRPr="003A0F2E">
        <w:rPr>
          <w:rFonts w:ascii="Arial" w:hAnsi="Arial" w:cs="Arial"/>
        </w:rPr>
        <w:t xml:space="preserve"> </w:t>
      </w:r>
      <w:r w:rsidR="007D39E1" w:rsidRPr="003A0F2E">
        <w:rPr>
          <w:rFonts w:ascii="Arial" w:hAnsi="Arial" w:cs="Arial"/>
        </w:rPr>
        <w:t>whe</w:t>
      </w:r>
      <w:r w:rsidR="00F543BC" w:rsidRPr="003A0F2E">
        <w:rPr>
          <w:rFonts w:ascii="Arial" w:hAnsi="Arial" w:cs="Arial"/>
        </w:rPr>
        <w:t xml:space="preserve">n </w:t>
      </w:r>
      <w:r w:rsidR="007D39E1" w:rsidRPr="003A0F2E">
        <w:rPr>
          <w:rFonts w:ascii="Arial" w:hAnsi="Arial" w:cs="Arial"/>
        </w:rPr>
        <w:t xml:space="preserve">the request </w:t>
      </w:r>
      <w:r w:rsidR="005E7A39" w:rsidRPr="003A0F2E">
        <w:rPr>
          <w:rFonts w:ascii="Arial" w:hAnsi="Arial" w:cs="Arial"/>
        </w:rPr>
        <w:t>is</w:t>
      </w:r>
      <w:r w:rsidR="005F3A5E" w:rsidRPr="003A0F2E">
        <w:rPr>
          <w:rFonts w:ascii="Arial" w:hAnsi="Arial" w:cs="Arial"/>
        </w:rPr>
        <w:t xml:space="preserve"> </w:t>
      </w:r>
      <w:r w:rsidR="007D39E1" w:rsidRPr="003A0F2E">
        <w:rPr>
          <w:rFonts w:ascii="Arial" w:hAnsi="Arial" w:cs="Arial"/>
          <w:b/>
          <w:bCs/>
        </w:rPr>
        <w:t>appropriate and safe</w:t>
      </w:r>
      <w:r w:rsidR="001B2F21">
        <w:rPr>
          <w:rFonts w:ascii="Arial" w:hAnsi="Arial" w:cs="Arial"/>
          <w:b/>
          <w:bCs/>
        </w:rPr>
        <w:t>*</w:t>
      </w:r>
      <w:r w:rsidR="005F3A5E" w:rsidRPr="003A0F2E">
        <w:rPr>
          <w:rFonts w:ascii="Arial" w:hAnsi="Arial" w:cs="Arial"/>
          <w:b/>
          <w:bCs/>
        </w:rPr>
        <w:t xml:space="preserve">. </w:t>
      </w:r>
      <w:r w:rsidR="005F3A5E" w:rsidRPr="003A0F2E">
        <w:rPr>
          <w:rFonts w:ascii="Arial" w:hAnsi="Arial" w:cs="Arial"/>
        </w:rPr>
        <w:t>Please see appendix 1 for</w:t>
      </w:r>
      <w:r w:rsidR="00F543BC" w:rsidRPr="003A0F2E">
        <w:rPr>
          <w:rFonts w:ascii="Arial" w:hAnsi="Arial" w:cs="Arial"/>
        </w:rPr>
        <w:t xml:space="preserve"> </w:t>
      </w:r>
      <w:r w:rsidR="00A225A3" w:rsidRPr="003A0F2E">
        <w:rPr>
          <w:rFonts w:ascii="Arial" w:hAnsi="Arial" w:cs="Arial"/>
        </w:rPr>
        <w:t>further information</w:t>
      </w:r>
      <w:r w:rsidR="005E7A39" w:rsidRPr="003A0F2E">
        <w:rPr>
          <w:rFonts w:ascii="Arial" w:hAnsi="Arial" w:cs="Arial"/>
        </w:rPr>
        <w:t xml:space="preserve">. </w:t>
      </w:r>
    </w:p>
    <w:p w:rsidR="004B502B" w:rsidRPr="003A0F2E" w:rsidRDefault="007D39E1" w:rsidP="004B502B">
      <w:pPr>
        <w:pStyle w:val="ListParagraph"/>
        <w:numPr>
          <w:ilvl w:val="1"/>
          <w:numId w:val="4"/>
        </w:numPr>
        <w:rPr>
          <w:rFonts w:ascii="Arial" w:hAnsi="Arial" w:cs="Arial"/>
        </w:rPr>
      </w:pPr>
      <w:r w:rsidRPr="003A0F2E">
        <w:rPr>
          <w:rFonts w:ascii="Arial" w:hAnsi="Arial" w:cs="Arial"/>
        </w:rPr>
        <w:t xml:space="preserve">By agreeing to shared care, the GP </w:t>
      </w:r>
      <w:r w:rsidR="001A5517">
        <w:rPr>
          <w:rFonts w:ascii="Arial" w:hAnsi="Arial" w:cs="Arial"/>
        </w:rPr>
        <w:t xml:space="preserve">practice </w:t>
      </w:r>
      <w:r w:rsidRPr="003A0F2E">
        <w:rPr>
          <w:rFonts w:ascii="Arial" w:hAnsi="Arial" w:cs="Arial"/>
        </w:rPr>
        <w:t xml:space="preserve">will be responsible for ensuring the continued monitoring of the patient within the parameters of the </w:t>
      </w:r>
      <w:hyperlink r:id="rId13" w:history="1">
        <w:r w:rsidRPr="003A0F2E">
          <w:rPr>
            <w:rStyle w:val="Hyperlink"/>
            <w:rFonts w:ascii="Arial" w:hAnsi="Arial" w:cs="Arial"/>
          </w:rPr>
          <w:t>shared care protocol</w:t>
        </w:r>
      </w:hyperlink>
      <w:r w:rsidRPr="003A0F2E">
        <w:rPr>
          <w:rFonts w:ascii="Arial" w:hAnsi="Arial" w:cs="Arial"/>
        </w:rPr>
        <w:t xml:space="preserve"> and </w:t>
      </w:r>
      <w:r w:rsidR="00794F7A" w:rsidRPr="003A0F2E">
        <w:rPr>
          <w:rFonts w:ascii="Arial" w:hAnsi="Arial" w:cs="Arial"/>
        </w:rPr>
        <w:t xml:space="preserve">any </w:t>
      </w:r>
      <w:r w:rsidRPr="003A0F2E">
        <w:rPr>
          <w:rFonts w:ascii="Arial" w:hAnsi="Arial" w:cs="Arial"/>
        </w:rPr>
        <w:t xml:space="preserve">associated communications with secondary care. </w:t>
      </w:r>
    </w:p>
    <w:p w:rsidR="004B502B" w:rsidRPr="003A0F2E" w:rsidRDefault="004B502B" w:rsidP="004B502B">
      <w:pPr>
        <w:pStyle w:val="ListParagraph"/>
        <w:numPr>
          <w:ilvl w:val="1"/>
          <w:numId w:val="4"/>
        </w:numPr>
        <w:rPr>
          <w:rFonts w:ascii="Arial" w:hAnsi="Arial" w:cs="Arial"/>
          <w:b/>
          <w:bCs/>
        </w:rPr>
      </w:pPr>
      <w:r w:rsidRPr="003A0F2E">
        <w:rPr>
          <w:rFonts w:ascii="Arial" w:hAnsi="Arial" w:cs="Arial"/>
        </w:rPr>
        <w:t xml:space="preserve">All patients must be coded using the </w:t>
      </w:r>
      <w:r w:rsidRPr="003A0F2E">
        <w:rPr>
          <w:rFonts w:ascii="Arial" w:hAnsi="Arial" w:cs="Arial"/>
          <w:b/>
          <w:bCs/>
        </w:rPr>
        <w:t>‘Shared care prescribing’ – SNOMED ID: 2534089011</w:t>
      </w:r>
    </w:p>
    <w:p w:rsidR="00335568" w:rsidRPr="003A0F2E" w:rsidRDefault="005E7A39" w:rsidP="00335568">
      <w:pPr>
        <w:pStyle w:val="ListParagraph"/>
        <w:numPr>
          <w:ilvl w:val="0"/>
          <w:numId w:val="4"/>
        </w:numPr>
        <w:rPr>
          <w:rFonts w:ascii="Arial" w:hAnsi="Arial" w:cs="Arial"/>
        </w:rPr>
      </w:pPr>
      <w:r w:rsidRPr="003A0F2E">
        <w:rPr>
          <w:rFonts w:ascii="Arial" w:hAnsi="Arial" w:cs="Arial"/>
        </w:rPr>
        <w:t xml:space="preserve">The </w:t>
      </w:r>
      <w:r w:rsidR="00CE0C3D" w:rsidRPr="003A0F2E">
        <w:rPr>
          <w:rFonts w:ascii="Arial" w:hAnsi="Arial" w:cs="Arial"/>
        </w:rPr>
        <w:t>primary care prescriber should respond to the request for shared care within 14 days of receiving the request to confirm acceptance or refusal of shared care.</w:t>
      </w:r>
      <w:r w:rsidRPr="003A0F2E">
        <w:rPr>
          <w:rFonts w:ascii="Arial" w:hAnsi="Arial" w:cs="Arial"/>
        </w:rPr>
        <w:t xml:space="preserve"> </w:t>
      </w:r>
      <w:r w:rsidR="00335568" w:rsidRPr="003A0F2E">
        <w:rPr>
          <w:rFonts w:ascii="Arial" w:hAnsi="Arial" w:cs="Arial"/>
        </w:rPr>
        <w:t>The GP provider should wherever possible contact the specialist service within the 14 days if outstanding concerns or questions are raised about agreeing to shared care.</w:t>
      </w:r>
      <w:r w:rsidR="00A103F2" w:rsidRPr="003A0F2E">
        <w:rPr>
          <w:rFonts w:ascii="Arial" w:hAnsi="Arial" w:cs="Arial"/>
        </w:rPr>
        <w:t xml:space="preserve"> Any delay in response from specialist services may lead to the 14-day timeframe being exceeded</w:t>
      </w:r>
      <w:r w:rsidRPr="003A0F2E">
        <w:rPr>
          <w:rFonts w:ascii="Arial" w:hAnsi="Arial" w:cs="Arial"/>
        </w:rPr>
        <w:t xml:space="preserve">. </w:t>
      </w:r>
      <w:r w:rsidR="00B86D08" w:rsidRPr="003A0F2E">
        <w:rPr>
          <w:rFonts w:ascii="Arial" w:hAnsi="Arial" w:cs="Arial"/>
        </w:rPr>
        <w:t xml:space="preserve">Please refer to </w:t>
      </w:r>
      <w:hyperlink r:id="rId14" w:history="1">
        <w:r w:rsidR="00B86D08" w:rsidRPr="003A0F2E">
          <w:rPr>
            <w:rStyle w:val="Hyperlink"/>
            <w:rFonts w:ascii="Arial" w:hAnsi="Arial" w:cs="Arial"/>
          </w:rPr>
          <w:t>GMMMG’s recommended shared care pathways (page 2 of 4)</w:t>
        </w:r>
      </w:hyperlink>
      <w:r w:rsidR="00B86D08" w:rsidRPr="003A0F2E">
        <w:rPr>
          <w:rFonts w:ascii="Arial" w:hAnsi="Arial" w:cs="Arial"/>
        </w:rPr>
        <w:t>.</w:t>
      </w:r>
    </w:p>
    <w:p w:rsidR="00FC345C" w:rsidRPr="003A0F2E" w:rsidRDefault="00FC345C" w:rsidP="003A0F2E">
      <w:pPr>
        <w:ind w:left="360"/>
        <w:rPr>
          <w:rFonts w:ascii="Arial" w:hAnsi="Arial" w:cs="Arial"/>
        </w:rPr>
      </w:pPr>
    </w:p>
    <w:p w:rsidR="00FC345C" w:rsidRPr="003A0F2E" w:rsidRDefault="004B1E7E" w:rsidP="00FC345C">
      <w:pPr>
        <w:rPr>
          <w:rFonts w:ascii="Arial" w:hAnsi="Arial" w:cs="Arial"/>
          <w:b/>
          <w:bCs/>
        </w:rPr>
      </w:pPr>
      <w:r w:rsidRPr="003A0F2E">
        <w:rPr>
          <w:rFonts w:ascii="Arial" w:hAnsi="Arial" w:cs="Arial"/>
          <w:b/>
          <w:bCs/>
        </w:rPr>
        <w:t>1c</w:t>
      </w:r>
      <w:r w:rsidR="001B2F21">
        <w:rPr>
          <w:rFonts w:ascii="Arial" w:hAnsi="Arial" w:cs="Arial"/>
          <w:b/>
          <w:bCs/>
        </w:rPr>
        <w:t>)</w:t>
      </w:r>
      <w:r w:rsidRPr="003A0F2E">
        <w:rPr>
          <w:rFonts w:ascii="Arial" w:hAnsi="Arial" w:cs="Arial"/>
          <w:b/>
          <w:bCs/>
        </w:rPr>
        <w:t xml:space="preserve"> </w:t>
      </w:r>
      <w:r w:rsidR="00FC345C" w:rsidRPr="003A0F2E">
        <w:rPr>
          <w:rFonts w:ascii="Arial" w:hAnsi="Arial" w:cs="Arial"/>
          <w:b/>
          <w:bCs/>
        </w:rPr>
        <w:t xml:space="preserve">Agreeing to new shared care </w:t>
      </w:r>
      <w:r w:rsidR="00D769A0">
        <w:rPr>
          <w:rFonts w:ascii="Arial" w:hAnsi="Arial" w:cs="Arial"/>
          <w:b/>
          <w:bCs/>
        </w:rPr>
        <w:t>where</w:t>
      </w:r>
      <w:r w:rsidR="00D769A0" w:rsidRPr="003A0F2E">
        <w:rPr>
          <w:rFonts w:ascii="Arial" w:hAnsi="Arial" w:cs="Arial"/>
          <w:b/>
          <w:bCs/>
        </w:rPr>
        <w:t xml:space="preserve"> </w:t>
      </w:r>
      <w:r w:rsidR="00FC345C" w:rsidRPr="003A0F2E">
        <w:rPr>
          <w:rFonts w:ascii="Arial" w:hAnsi="Arial" w:cs="Arial"/>
          <w:b/>
          <w:bCs/>
        </w:rPr>
        <w:t xml:space="preserve">there are concerns with the associated pathway: </w:t>
      </w:r>
    </w:p>
    <w:p w:rsidR="004B502B" w:rsidRPr="003A0F2E" w:rsidRDefault="00FC345C" w:rsidP="00FC345C">
      <w:pPr>
        <w:pStyle w:val="ListParagraph"/>
        <w:numPr>
          <w:ilvl w:val="0"/>
          <w:numId w:val="4"/>
        </w:numPr>
        <w:jc w:val="both"/>
        <w:rPr>
          <w:rFonts w:ascii="Arial" w:hAnsi="Arial" w:cs="Arial"/>
        </w:rPr>
      </w:pPr>
      <w:r w:rsidRPr="003A0F2E">
        <w:rPr>
          <w:rFonts w:ascii="Arial" w:hAnsi="Arial" w:cs="Arial"/>
        </w:rPr>
        <w:t>Th</w:t>
      </w:r>
      <w:r w:rsidR="002A174E">
        <w:rPr>
          <w:rFonts w:ascii="Arial" w:hAnsi="Arial" w:cs="Arial"/>
        </w:rPr>
        <w:t>is forerunner</w:t>
      </w:r>
      <w:r w:rsidRPr="003A0F2E">
        <w:rPr>
          <w:rFonts w:ascii="Arial" w:hAnsi="Arial" w:cs="Arial"/>
        </w:rPr>
        <w:t xml:space="preserve"> scheme acknowledges that GP practices may agree to shared care requests when </w:t>
      </w:r>
      <w:r w:rsidR="004B1E7E" w:rsidRPr="003A0F2E">
        <w:rPr>
          <w:rFonts w:ascii="Arial" w:hAnsi="Arial" w:cs="Arial"/>
        </w:rPr>
        <w:t xml:space="preserve">concerns </w:t>
      </w:r>
      <w:r w:rsidR="001B2F21" w:rsidRPr="001B2F21">
        <w:rPr>
          <w:rFonts w:ascii="Arial" w:hAnsi="Arial" w:cs="Arial"/>
        </w:rPr>
        <w:t>remain</w:t>
      </w:r>
      <w:r w:rsidRPr="003A0F2E">
        <w:rPr>
          <w:rFonts w:ascii="Arial" w:hAnsi="Arial" w:cs="Arial"/>
        </w:rPr>
        <w:t xml:space="preserve"> with the </w:t>
      </w:r>
      <w:r w:rsidR="004B1E7E" w:rsidRPr="003A0F2E">
        <w:rPr>
          <w:rFonts w:ascii="Arial" w:hAnsi="Arial" w:cs="Arial"/>
        </w:rPr>
        <w:t xml:space="preserve">associated </w:t>
      </w:r>
      <w:r w:rsidR="001B2F21" w:rsidRPr="001B2F21">
        <w:rPr>
          <w:rFonts w:ascii="Arial" w:hAnsi="Arial" w:cs="Arial"/>
        </w:rPr>
        <w:t xml:space="preserve">pathway </w:t>
      </w:r>
      <w:r w:rsidR="00D769A0">
        <w:rPr>
          <w:rFonts w:ascii="Arial" w:hAnsi="Arial" w:cs="Arial"/>
        </w:rPr>
        <w:t>although</w:t>
      </w:r>
      <w:r w:rsidR="00D769A0" w:rsidRPr="003A0F2E">
        <w:rPr>
          <w:rFonts w:ascii="Arial" w:hAnsi="Arial" w:cs="Arial"/>
        </w:rPr>
        <w:t xml:space="preserve"> </w:t>
      </w:r>
      <w:r w:rsidR="002A174E">
        <w:rPr>
          <w:rFonts w:ascii="Arial" w:hAnsi="Arial" w:cs="Arial"/>
        </w:rPr>
        <w:t xml:space="preserve">the practice </w:t>
      </w:r>
      <w:r w:rsidRPr="003A0F2E">
        <w:rPr>
          <w:rFonts w:ascii="Arial" w:hAnsi="Arial" w:cs="Arial"/>
        </w:rPr>
        <w:t>agree</w:t>
      </w:r>
      <w:r w:rsidR="002A174E">
        <w:rPr>
          <w:rFonts w:ascii="Arial" w:hAnsi="Arial" w:cs="Arial"/>
        </w:rPr>
        <w:t>s</w:t>
      </w:r>
      <w:r w:rsidRPr="003A0F2E">
        <w:rPr>
          <w:rFonts w:ascii="Arial" w:hAnsi="Arial" w:cs="Arial"/>
        </w:rPr>
        <w:t xml:space="preserve"> to manage these concerns and</w:t>
      </w:r>
      <w:r w:rsidR="004B1E7E" w:rsidRPr="003A0F2E">
        <w:rPr>
          <w:rFonts w:ascii="Arial" w:hAnsi="Arial" w:cs="Arial"/>
        </w:rPr>
        <w:t xml:space="preserve"> any</w:t>
      </w:r>
      <w:r w:rsidRPr="003A0F2E">
        <w:rPr>
          <w:rFonts w:ascii="Arial" w:hAnsi="Arial" w:cs="Arial"/>
        </w:rPr>
        <w:t xml:space="preserve"> associated risks in the best interests of the </w:t>
      </w:r>
      <w:r w:rsidR="004B1E7E" w:rsidRPr="003A0F2E">
        <w:rPr>
          <w:rFonts w:ascii="Arial" w:hAnsi="Arial" w:cs="Arial"/>
        </w:rPr>
        <w:t xml:space="preserve">individual </w:t>
      </w:r>
      <w:r w:rsidRPr="003A0F2E">
        <w:rPr>
          <w:rFonts w:ascii="Arial" w:hAnsi="Arial" w:cs="Arial"/>
        </w:rPr>
        <w:t>patient</w:t>
      </w:r>
      <w:r w:rsidR="00975871">
        <w:rPr>
          <w:rFonts w:ascii="Arial" w:hAnsi="Arial" w:cs="Arial"/>
        </w:rPr>
        <w:t xml:space="preserve"> </w:t>
      </w:r>
      <w:r w:rsidR="002A174E">
        <w:rPr>
          <w:rFonts w:ascii="Arial" w:hAnsi="Arial" w:cs="Arial"/>
        </w:rPr>
        <w:t xml:space="preserve">over 2025/26 </w:t>
      </w:r>
      <w:r w:rsidR="00975871">
        <w:rPr>
          <w:rFonts w:ascii="Arial" w:hAnsi="Arial" w:cs="Arial"/>
        </w:rPr>
        <w:t xml:space="preserve">whilst </w:t>
      </w:r>
      <w:r w:rsidR="002A174E">
        <w:rPr>
          <w:rFonts w:ascii="Arial" w:hAnsi="Arial" w:cs="Arial"/>
        </w:rPr>
        <w:t>the ongoing work by the GM SCOM taskforce continues at pace to resolve and address</w:t>
      </w:r>
      <w:r w:rsidR="00975871">
        <w:rPr>
          <w:rFonts w:ascii="Arial" w:hAnsi="Arial" w:cs="Arial"/>
        </w:rPr>
        <w:t xml:space="preserve"> these concerns</w:t>
      </w:r>
      <w:r w:rsidRPr="003A0F2E">
        <w:rPr>
          <w:rFonts w:ascii="Arial" w:hAnsi="Arial" w:cs="Arial"/>
        </w:rPr>
        <w:t>.</w:t>
      </w:r>
      <w:r w:rsidR="004B1E7E" w:rsidRPr="003A0F2E">
        <w:rPr>
          <w:rFonts w:ascii="Arial" w:hAnsi="Arial" w:cs="Arial"/>
        </w:rPr>
        <w:t xml:space="preserve"> The decision to accept in this instance will </w:t>
      </w:r>
      <w:r w:rsidR="001B2F21">
        <w:rPr>
          <w:rFonts w:ascii="Arial" w:hAnsi="Arial" w:cs="Arial"/>
        </w:rPr>
        <w:t xml:space="preserve">be </w:t>
      </w:r>
      <w:r w:rsidR="00D769A0">
        <w:rPr>
          <w:rFonts w:ascii="Arial" w:hAnsi="Arial" w:cs="Arial"/>
        </w:rPr>
        <w:t xml:space="preserve">made </w:t>
      </w:r>
      <w:r w:rsidR="001B2F21">
        <w:rPr>
          <w:rFonts w:ascii="Arial" w:hAnsi="Arial" w:cs="Arial"/>
        </w:rPr>
        <w:t>by the</w:t>
      </w:r>
      <w:r w:rsidR="004B1E7E" w:rsidRPr="003A0F2E">
        <w:rPr>
          <w:rFonts w:ascii="Arial" w:hAnsi="Arial" w:cs="Arial"/>
        </w:rPr>
        <w:t xml:space="preserve"> GP practice. </w:t>
      </w:r>
    </w:p>
    <w:p w:rsidR="003C322E" w:rsidRPr="00670560" w:rsidRDefault="00FC345C" w:rsidP="003C322E">
      <w:pPr>
        <w:pStyle w:val="ListParagraph"/>
        <w:numPr>
          <w:ilvl w:val="0"/>
          <w:numId w:val="4"/>
        </w:numPr>
        <w:jc w:val="both"/>
        <w:rPr>
          <w:rFonts w:ascii="Arial" w:hAnsi="Arial" w:cs="Arial"/>
          <w:b/>
          <w:bCs/>
        </w:rPr>
      </w:pPr>
      <w:r w:rsidRPr="003A0F2E">
        <w:rPr>
          <w:rFonts w:ascii="Arial" w:hAnsi="Arial" w:cs="Arial"/>
        </w:rPr>
        <w:t xml:space="preserve">By agreeing to shared care in this instance, the GP </w:t>
      </w:r>
      <w:r w:rsidR="001A5517">
        <w:rPr>
          <w:rFonts w:ascii="Arial" w:hAnsi="Arial" w:cs="Arial"/>
        </w:rPr>
        <w:t>p</w:t>
      </w:r>
      <w:r w:rsidR="003D69DC">
        <w:rPr>
          <w:rFonts w:ascii="Arial" w:hAnsi="Arial" w:cs="Arial"/>
        </w:rPr>
        <w:t>ractice</w:t>
      </w:r>
      <w:r w:rsidRPr="003A0F2E">
        <w:rPr>
          <w:rFonts w:ascii="Arial" w:hAnsi="Arial" w:cs="Arial"/>
        </w:rPr>
        <w:t xml:space="preserve"> will</w:t>
      </w:r>
      <w:r w:rsidR="00A85636">
        <w:rPr>
          <w:rFonts w:ascii="Arial" w:hAnsi="Arial" w:cs="Arial"/>
        </w:rPr>
        <w:t xml:space="preserve"> </w:t>
      </w:r>
      <w:r w:rsidR="004B1E7E" w:rsidRPr="003A0F2E">
        <w:rPr>
          <w:rFonts w:ascii="Arial" w:hAnsi="Arial" w:cs="Arial"/>
        </w:rPr>
        <w:t xml:space="preserve">use the following coding instead: </w:t>
      </w:r>
      <w:r w:rsidR="00A85636" w:rsidRPr="00A85636">
        <w:rPr>
          <w:rFonts w:ascii="Arial" w:hAnsi="Arial" w:cs="Arial"/>
          <w:b/>
          <w:bCs/>
        </w:rPr>
        <w:t>management plan for shared care - SNOMED Concept ID 8803310000000106</w:t>
      </w:r>
    </w:p>
    <w:p w:rsidR="003C322E" w:rsidRPr="003C322E" w:rsidRDefault="003C322E" w:rsidP="003C322E">
      <w:pPr>
        <w:jc w:val="both"/>
        <w:rPr>
          <w:rFonts w:ascii="Arial" w:hAnsi="Arial" w:cs="Arial"/>
        </w:rPr>
      </w:pPr>
    </w:p>
    <w:p w:rsidR="004B502B" w:rsidRPr="003A0F2E" w:rsidRDefault="004B1E7E" w:rsidP="004B502B">
      <w:pPr>
        <w:jc w:val="both"/>
        <w:rPr>
          <w:rFonts w:ascii="Arial" w:hAnsi="Arial" w:cs="Arial"/>
          <w:b/>
          <w:bCs/>
        </w:rPr>
      </w:pPr>
      <w:r w:rsidRPr="003A0F2E">
        <w:rPr>
          <w:rFonts w:ascii="Arial" w:hAnsi="Arial" w:cs="Arial"/>
          <w:b/>
          <w:bCs/>
        </w:rPr>
        <w:t>1d</w:t>
      </w:r>
      <w:r w:rsidR="001B2F21">
        <w:rPr>
          <w:rFonts w:ascii="Arial" w:hAnsi="Arial" w:cs="Arial"/>
          <w:b/>
          <w:bCs/>
        </w:rPr>
        <w:t>)</w:t>
      </w:r>
      <w:r w:rsidRPr="003A0F2E">
        <w:rPr>
          <w:rFonts w:ascii="Arial" w:hAnsi="Arial" w:cs="Arial"/>
          <w:b/>
          <w:bCs/>
        </w:rPr>
        <w:t xml:space="preserve"> </w:t>
      </w:r>
      <w:r w:rsidR="009F2221" w:rsidRPr="003A0F2E">
        <w:rPr>
          <w:rFonts w:ascii="Arial" w:hAnsi="Arial" w:cs="Arial"/>
          <w:b/>
          <w:bCs/>
        </w:rPr>
        <w:t>D</w:t>
      </w:r>
      <w:r w:rsidR="004B502B" w:rsidRPr="003A0F2E">
        <w:rPr>
          <w:rFonts w:ascii="Arial" w:hAnsi="Arial" w:cs="Arial"/>
          <w:b/>
          <w:bCs/>
        </w:rPr>
        <w:t xml:space="preserve">eclining </w:t>
      </w:r>
      <w:r w:rsidR="00FC345C" w:rsidRPr="003A0F2E">
        <w:rPr>
          <w:rFonts w:ascii="Arial" w:hAnsi="Arial" w:cs="Arial"/>
          <w:b/>
          <w:bCs/>
        </w:rPr>
        <w:t>new s</w:t>
      </w:r>
      <w:r w:rsidR="004B502B" w:rsidRPr="003A0F2E">
        <w:rPr>
          <w:rFonts w:ascii="Arial" w:hAnsi="Arial" w:cs="Arial"/>
          <w:b/>
          <w:bCs/>
        </w:rPr>
        <w:t xml:space="preserve">hared </w:t>
      </w:r>
      <w:r w:rsidR="00FC345C" w:rsidRPr="003A0F2E">
        <w:rPr>
          <w:rFonts w:ascii="Arial" w:hAnsi="Arial" w:cs="Arial"/>
          <w:b/>
          <w:bCs/>
        </w:rPr>
        <w:t>c</w:t>
      </w:r>
      <w:r w:rsidR="004B502B" w:rsidRPr="003A0F2E">
        <w:rPr>
          <w:rFonts w:ascii="Arial" w:hAnsi="Arial" w:cs="Arial"/>
          <w:b/>
          <w:bCs/>
        </w:rPr>
        <w:t>are</w:t>
      </w:r>
      <w:r w:rsidR="00FC345C" w:rsidRPr="003A0F2E">
        <w:rPr>
          <w:rFonts w:ascii="Arial" w:hAnsi="Arial" w:cs="Arial"/>
          <w:b/>
          <w:bCs/>
        </w:rPr>
        <w:t xml:space="preserve"> requests</w:t>
      </w:r>
      <w:r w:rsidR="004B502B" w:rsidRPr="003A0F2E">
        <w:rPr>
          <w:rFonts w:ascii="Arial" w:hAnsi="Arial" w:cs="Arial"/>
          <w:b/>
          <w:bCs/>
        </w:rPr>
        <w:t>:</w:t>
      </w:r>
    </w:p>
    <w:p w:rsidR="001B2F21" w:rsidRDefault="001B2F21" w:rsidP="001B2F21">
      <w:pPr>
        <w:pStyle w:val="ListParagraph"/>
        <w:numPr>
          <w:ilvl w:val="0"/>
          <w:numId w:val="30"/>
        </w:numPr>
        <w:rPr>
          <w:rFonts w:ascii="Arial" w:hAnsi="Arial" w:cs="Arial"/>
          <w:b/>
          <w:bCs/>
        </w:rPr>
      </w:pPr>
      <w:r w:rsidRPr="00B44B39">
        <w:rPr>
          <w:rFonts w:ascii="Arial" w:hAnsi="Arial" w:cs="Arial"/>
        </w:rPr>
        <w:t xml:space="preserve">The GP </w:t>
      </w:r>
      <w:r w:rsidR="001A5517">
        <w:rPr>
          <w:rFonts w:ascii="Arial" w:hAnsi="Arial" w:cs="Arial"/>
        </w:rPr>
        <w:t>p</w:t>
      </w:r>
      <w:r w:rsidRPr="00B44B39">
        <w:rPr>
          <w:rFonts w:ascii="Arial" w:hAnsi="Arial" w:cs="Arial"/>
        </w:rPr>
        <w:t xml:space="preserve">ractice will communicate in writing to the specialist service if the shared care request is declined and this must be coded in GP systems </w:t>
      </w:r>
      <w:r w:rsidRPr="003A0F2E">
        <w:rPr>
          <w:rFonts w:ascii="Arial" w:hAnsi="Arial" w:cs="Arial"/>
          <w:b/>
          <w:bCs/>
        </w:rPr>
        <w:t>‘</w:t>
      </w:r>
      <w:bookmarkStart w:id="0" w:name="_Hlk191827137"/>
      <w:r w:rsidRPr="003A0F2E">
        <w:rPr>
          <w:rFonts w:ascii="Arial" w:hAnsi="Arial" w:cs="Arial"/>
          <w:b/>
          <w:bCs/>
        </w:rPr>
        <w:t>shared care prescribing declined’ – SNOMED ID 415523003</w:t>
      </w:r>
      <w:bookmarkEnd w:id="0"/>
      <w:r w:rsidRPr="003A0F2E">
        <w:rPr>
          <w:rFonts w:ascii="Arial" w:hAnsi="Arial" w:cs="Arial"/>
          <w:b/>
          <w:bCs/>
        </w:rPr>
        <w:t xml:space="preserve">. </w:t>
      </w:r>
    </w:p>
    <w:p w:rsidR="00B13501" w:rsidRPr="003A0F2E" w:rsidRDefault="00B13501" w:rsidP="001B2F21">
      <w:pPr>
        <w:pStyle w:val="ListParagraph"/>
        <w:numPr>
          <w:ilvl w:val="0"/>
          <w:numId w:val="30"/>
        </w:numPr>
        <w:rPr>
          <w:rFonts w:ascii="Arial" w:hAnsi="Arial" w:cs="Arial"/>
          <w:b/>
          <w:bCs/>
        </w:rPr>
      </w:pPr>
      <w:r>
        <w:rPr>
          <w:rFonts w:ascii="Arial" w:hAnsi="Arial" w:cs="Arial"/>
        </w:rPr>
        <w:t>The shared care medicine must be documented as ‘hospital only’</w:t>
      </w:r>
      <w:r w:rsidR="003A0F2E">
        <w:rPr>
          <w:rFonts w:ascii="Arial" w:hAnsi="Arial" w:cs="Arial"/>
        </w:rPr>
        <w:t xml:space="preserve"> or ‘drugs prescribed by others’</w:t>
      </w:r>
      <w:r>
        <w:rPr>
          <w:rFonts w:ascii="Arial" w:hAnsi="Arial" w:cs="Arial"/>
        </w:rPr>
        <w:t xml:space="preserve"> on the patient’s medication list to ensure an up-to-date medicines history. </w:t>
      </w:r>
    </w:p>
    <w:p w:rsidR="007D39E1" w:rsidRPr="003A0F2E" w:rsidRDefault="00170EAA" w:rsidP="001B2F21">
      <w:pPr>
        <w:pStyle w:val="ListParagraph"/>
        <w:numPr>
          <w:ilvl w:val="0"/>
          <w:numId w:val="30"/>
        </w:numPr>
        <w:rPr>
          <w:rFonts w:ascii="Arial" w:hAnsi="Arial" w:cs="Arial"/>
        </w:rPr>
      </w:pPr>
      <w:r w:rsidRPr="003A0F2E">
        <w:rPr>
          <w:rFonts w:ascii="Arial" w:hAnsi="Arial" w:cs="Arial"/>
        </w:rPr>
        <w:t>Each request declined must be reported through</w:t>
      </w:r>
      <w:r w:rsidR="000B4744" w:rsidRPr="003A0F2E">
        <w:rPr>
          <w:rFonts w:ascii="Arial" w:hAnsi="Arial" w:cs="Arial"/>
        </w:rPr>
        <w:t xml:space="preserve"> a</w:t>
      </w:r>
      <w:r w:rsidRPr="003A0F2E">
        <w:rPr>
          <w:rFonts w:ascii="Arial" w:hAnsi="Arial" w:cs="Arial"/>
        </w:rPr>
        <w:t xml:space="preserve"> </w:t>
      </w:r>
      <w:r w:rsidR="009956EC" w:rsidRPr="003A0F2E">
        <w:rPr>
          <w:rFonts w:ascii="Arial" w:hAnsi="Arial" w:cs="Arial"/>
        </w:rPr>
        <w:t xml:space="preserve">shared care medicines </w:t>
      </w:r>
      <w:r w:rsidR="001B2F21">
        <w:rPr>
          <w:rFonts w:ascii="Arial" w:hAnsi="Arial" w:cs="Arial"/>
        </w:rPr>
        <w:t xml:space="preserve">improvement </w:t>
      </w:r>
      <w:r w:rsidR="00A85636">
        <w:rPr>
          <w:rFonts w:ascii="Arial" w:hAnsi="Arial" w:cs="Arial"/>
        </w:rPr>
        <w:t>template embedded in EMIS systems</w:t>
      </w:r>
      <w:r w:rsidR="009956EC" w:rsidRPr="003A0F2E">
        <w:rPr>
          <w:rFonts w:ascii="Arial" w:hAnsi="Arial" w:cs="Arial"/>
        </w:rPr>
        <w:t xml:space="preserve">. The </w:t>
      </w:r>
      <w:r w:rsidR="00A85636">
        <w:rPr>
          <w:rFonts w:ascii="Arial" w:hAnsi="Arial" w:cs="Arial"/>
        </w:rPr>
        <w:t>template</w:t>
      </w:r>
      <w:r w:rsidR="00B13501" w:rsidRPr="003A0F2E">
        <w:rPr>
          <w:rFonts w:ascii="Arial" w:hAnsi="Arial" w:cs="Arial"/>
        </w:rPr>
        <w:t xml:space="preserve"> </w:t>
      </w:r>
      <w:r w:rsidR="009956EC" w:rsidRPr="003A0F2E">
        <w:rPr>
          <w:rFonts w:ascii="Arial" w:hAnsi="Arial" w:cs="Arial"/>
        </w:rPr>
        <w:t>will include the following information</w:t>
      </w:r>
      <w:r w:rsidR="00A85636">
        <w:rPr>
          <w:rFonts w:ascii="Arial" w:hAnsi="Arial" w:cs="Arial"/>
        </w:rPr>
        <w:t xml:space="preserve"> and will be in a format that can be passed to providers</w:t>
      </w:r>
      <w:r w:rsidR="00794F7A" w:rsidRPr="003A0F2E">
        <w:rPr>
          <w:rFonts w:ascii="Arial" w:hAnsi="Arial" w:cs="Arial"/>
        </w:rPr>
        <w:t xml:space="preserve">: </w:t>
      </w:r>
    </w:p>
    <w:p w:rsidR="00794F7A" w:rsidRPr="003A0F2E" w:rsidRDefault="00794F7A" w:rsidP="001B2F21">
      <w:pPr>
        <w:pStyle w:val="ListParagraph"/>
        <w:numPr>
          <w:ilvl w:val="1"/>
          <w:numId w:val="30"/>
        </w:numPr>
        <w:rPr>
          <w:rFonts w:ascii="Arial" w:hAnsi="Arial" w:cs="Arial"/>
        </w:rPr>
      </w:pPr>
      <w:r w:rsidRPr="003A0F2E">
        <w:rPr>
          <w:rFonts w:ascii="Arial" w:hAnsi="Arial" w:cs="Arial"/>
        </w:rPr>
        <w:t>GP practice</w:t>
      </w:r>
    </w:p>
    <w:p w:rsidR="00794F7A" w:rsidRPr="003A0F2E" w:rsidRDefault="00794F7A" w:rsidP="001B2F21">
      <w:pPr>
        <w:pStyle w:val="ListParagraph"/>
        <w:numPr>
          <w:ilvl w:val="1"/>
          <w:numId w:val="30"/>
        </w:numPr>
        <w:rPr>
          <w:rFonts w:ascii="Arial" w:hAnsi="Arial" w:cs="Arial"/>
        </w:rPr>
      </w:pPr>
      <w:r w:rsidRPr="003A0F2E">
        <w:rPr>
          <w:rFonts w:ascii="Arial" w:hAnsi="Arial" w:cs="Arial"/>
        </w:rPr>
        <w:t>Medicine &amp; clinical condition</w:t>
      </w:r>
    </w:p>
    <w:p w:rsidR="00794F7A" w:rsidRPr="003A0F2E" w:rsidRDefault="00794F7A" w:rsidP="001B2F21">
      <w:pPr>
        <w:pStyle w:val="ListParagraph"/>
        <w:numPr>
          <w:ilvl w:val="1"/>
          <w:numId w:val="30"/>
        </w:numPr>
        <w:rPr>
          <w:rFonts w:ascii="Arial" w:hAnsi="Arial" w:cs="Arial"/>
        </w:rPr>
      </w:pPr>
      <w:r w:rsidRPr="003A0F2E">
        <w:rPr>
          <w:rFonts w:ascii="Arial" w:hAnsi="Arial" w:cs="Arial"/>
        </w:rPr>
        <w:t xml:space="preserve">Trust &amp; requesting clinician  </w:t>
      </w:r>
    </w:p>
    <w:p w:rsidR="00794F7A" w:rsidRPr="003A0F2E" w:rsidRDefault="00794F7A" w:rsidP="001B2F21">
      <w:pPr>
        <w:pStyle w:val="ListParagraph"/>
        <w:numPr>
          <w:ilvl w:val="1"/>
          <w:numId w:val="30"/>
        </w:numPr>
        <w:rPr>
          <w:rFonts w:ascii="Arial" w:hAnsi="Arial" w:cs="Arial"/>
        </w:rPr>
      </w:pPr>
      <w:r w:rsidRPr="003A0F2E">
        <w:rPr>
          <w:rFonts w:ascii="Arial" w:hAnsi="Arial" w:cs="Arial"/>
        </w:rPr>
        <w:t xml:space="preserve">Reason for declining the shared care request </w:t>
      </w:r>
    </w:p>
    <w:p w:rsidR="009C1D87" w:rsidRPr="003A0F2E" w:rsidRDefault="005E7A39" w:rsidP="001B2F21">
      <w:pPr>
        <w:pStyle w:val="ListParagraph"/>
        <w:numPr>
          <w:ilvl w:val="0"/>
          <w:numId w:val="30"/>
        </w:numPr>
        <w:rPr>
          <w:rFonts w:ascii="Arial" w:hAnsi="Arial" w:cs="Arial"/>
        </w:rPr>
      </w:pPr>
      <w:r w:rsidRPr="003A0F2E">
        <w:rPr>
          <w:rFonts w:ascii="Arial" w:hAnsi="Arial" w:cs="Arial"/>
        </w:rPr>
        <w:t xml:space="preserve">If </w:t>
      </w:r>
      <w:r w:rsidR="009C1D87" w:rsidRPr="003A0F2E">
        <w:rPr>
          <w:rFonts w:ascii="Arial" w:hAnsi="Arial" w:cs="Arial"/>
        </w:rPr>
        <w:t xml:space="preserve">the </w:t>
      </w:r>
      <w:r w:rsidR="00FE42C1">
        <w:rPr>
          <w:rFonts w:ascii="Arial" w:hAnsi="Arial" w:cs="Arial"/>
        </w:rPr>
        <w:t>number</w:t>
      </w:r>
      <w:r w:rsidR="009C1D87" w:rsidRPr="003A0F2E">
        <w:rPr>
          <w:rFonts w:ascii="Arial" w:hAnsi="Arial" w:cs="Arial"/>
        </w:rPr>
        <w:t xml:space="preserve"> of </w:t>
      </w:r>
      <w:r w:rsidR="00170EAA" w:rsidRPr="003A0F2E">
        <w:rPr>
          <w:rFonts w:ascii="Arial" w:hAnsi="Arial" w:cs="Arial"/>
        </w:rPr>
        <w:t xml:space="preserve">declined </w:t>
      </w:r>
      <w:r w:rsidR="00EB6CF2" w:rsidRPr="003A0F2E">
        <w:rPr>
          <w:rFonts w:ascii="Arial" w:hAnsi="Arial" w:cs="Arial"/>
        </w:rPr>
        <w:t>shared care requests</w:t>
      </w:r>
      <w:r w:rsidR="009C1D87" w:rsidRPr="003A0F2E">
        <w:rPr>
          <w:rFonts w:ascii="Arial" w:hAnsi="Arial" w:cs="Arial"/>
        </w:rPr>
        <w:t xml:space="preserve"> for medicines </w:t>
      </w:r>
      <w:r w:rsidR="00745783" w:rsidRPr="003A0F2E">
        <w:rPr>
          <w:rFonts w:ascii="Arial" w:hAnsi="Arial" w:cs="Arial"/>
        </w:rPr>
        <w:t>in</w:t>
      </w:r>
      <w:r w:rsidR="009C1D87" w:rsidRPr="003A0F2E">
        <w:rPr>
          <w:rFonts w:ascii="Arial" w:hAnsi="Arial" w:cs="Arial"/>
        </w:rPr>
        <w:t xml:space="preserve"> </w:t>
      </w:r>
      <w:r w:rsidR="00170EAA" w:rsidRPr="003A0F2E">
        <w:rPr>
          <w:rFonts w:ascii="Arial" w:hAnsi="Arial" w:cs="Arial"/>
        </w:rPr>
        <w:t xml:space="preserve">the </w:t>
      </w:r>
      <w:r w:rsidR="009C1D87" w:rsidRPr="003A0F2E">
        <w:rPr>
          <w:rFonts w:ascii="Arial" w:hAnsi="Arial" w:cs="Arial"/>
        </w:rPr>
        <w:t>‘</w:t>
      </w:r>
      <w:r w:rsidR="009C1D87" w:rsidRPr="003A0F2E">
        <w:rPr>
          <w:rFonts w:ascii="Arial" w:hAnsi="Arial" w:cs="Arial"/>
          <w:i/>
          <w:iCs/>
        </w:rPr>
        <w:t>shared care arrangements in place</w:t>
      </w:r>
      <w:r w:rsidR="009C1D87" w:rsidRPr="003A0F2E">
        <w:rPr>
          <w:rFonts w:ascii="Arial" w:hAnsi="Arial" w:cs="Arial"/>
        </w:rPr>
        <w:t>’</w:t>
      </w:r>
      <w:r w:rsidR="009C1D87" w:rsidRPr="003A0F2E">
        <w:rPr>
          <w:rFonts w:ascii="Arial" w:hAnsi="Arial" w:cs="Arial"/>
          <w:b/>
          <w:bCs/>
        </w:rPr>
        <w:t xml:space="preserve"> </w:t>
      </w:r>
      <w:r w:rsidR="000B4744" w:rsidRPr="003A0F2E">
        <w:rPr>
          <w:rFonts w:ascii="Arial" w:hAnsi="Arial" w:cs="Arial"/>
        </w:rPr>
        <w:t xml:space="preserve">column (see appendix </w:t>
      </w:r>
      <w:r w:rsidR="008E2996">
        <w:rPr>
          <w:rFonts w:ascii="Arial" w:hAnsi="Arial" w:cs="Arial"/>
        </w:rPr>
        <w:t>1</w:t>
      </w:r>
      <w:r w:rsidR="000B4744" w:rsidRPr="003A0F2E">
        <w:rPr>
          <w:rFonts w:ascii="Arial" w:hAnsi="Arial" w:cs="Arial"/>
        </w:rPr>
        <w:t xml:space="preserve">) </w:t>
      </w:r>
      <w:r w:rsidR="009C1D87" w:rsidRPr="003A0F2E">
        <w:rPr>
          <w:rFonts w:ascii="Arial" w:hAnsi="Arial" w:cs="Arial"/>
        </w:rPr>
        <w:t>meet the below threshold, further information will be asked from GP practices to understand the safety concerns</w:t>
      </w:r>
      <w:r w:rsidR="00170EAA" w:rsidRPr="003A0F2E">
        <w:rPr>
          <w:rFonts w:ascii="Arial" w:hAnsi="Arial" w:cs="Arial"/>
        </w:rPr>
        <w:t xml:space="preserve"> or barriers</w:t>
      </w:r>
      <w:r w:rsidR="009C1D87" w:rsidRPr="003A0F2E">
        <w:rPr>
          <w:rFonts w:ascii="Arial" w:hAnsi="Arial" w:cs="Arial"/>
        </w:rPr>
        <w:t xml:space="preserve"> </w:t>
      </w:r>
      <w:r w:rsidR="00170EAA" w:rsidRPr="003A0F2E">
        <w:rPr>
          <w:rFonts w:ascii="Arial" w:hAnsi="Arial" w:cs="Arial"/>
        </w:rPr>
        <w:t>to accepting</w:t>
      </w:r>
      <w:r w:rsidR="009C1D87" w:rsidRPr="003A0F2E">
        <w:rPr>
          <w:rFonts w:ascii="Arial" w:hAnsi="Arial" w:cs="Arial"/>
        </w:rPr>
        <w:t xml:space="preserve"> shared care. This will support the SCOM programme to identify which services require more input to improve pathways:</w:t>
      </w:r>
    </w:p>
    <w:p w:rsidR="009C1D87" w:rsidRPr="003A0F2E" w:rsidRDefault="009C1D87" w:rsidP="009C1D87">
      <w:pPr>
        <w:pStyle w:val="ListParagraph"/>
        <w:rPr>
          <w:rFonts w:ascii="Arial" w:hAnsi="Arial" w:cs="Arial"/>
        </w:rPr>
      </w:pPr>
    </w:p>
    <w:p w:rsidR="009C1D87" w:rsidRPr="003A0F2E" w:rsidRDefault="009C1D87" w:rsidP="009C1D87">
      <w:pPr>
        <w:pStyle w:val="ListParagraph"/>
        <w:rPr>
          <w:rFonts w:ascii="Arial" w:hAnsi="Arial" w:cs="Arial"/>
          <w:b/>
          <w:bCs/>
        </w:rPr>
      </w:pPr>
      <w:r w:rsidRPr="003A0F2E">
        <w:rPr>
          <w:rFonts w:ascii="Arial" w:hAnsi="Arial" w:cs="Arial"/>
          <w:b/>
          <w:bCs/>
        </w:rPr>
        <w:t xml:space="preserve">Threshold: </w:t>
      </w:r>
    </w:p>
    <w:p w:rsidR="009C1D87" w:rsidRPr="003A0F2E" w:rsidRDefault="009C1D87" w:rsidP="00AC31BB">
      <w:pPr>
        <w:ind w:left="720"/>
        <w:rPr>
          <w:rFonts w:ascii="Arial" w:hAnsi="Arial" w:cs="Arial"/>
        </w:rPr>
      </w:pPr>
      <w:r w:rsidRPr="003A0F2E">
        <w:rPr>
          <w:rFonts w:ascii="Arial" w:hAnsi="Arial" w:cs="Arial"/>
        </w:rPr>
        <w:t>Greater or equal to 40% declines out of</w:t>
      </w:r>
      <w:r w:rsidR="00AC31BB" w:rsidRPr="003A0F2E">
        <w:rPr>
          <w:rFonts w:ascii="Arial" w:hAnsi="Arial" w:cs="Arial"/>
        </w:rPr>
        <w:t xml:space="preserve"> all</w:t>
      </w:r>
      <w:r w:rsidRPr="003A0F2E">
        <w:rPr>
          <w:rFonts w:ascii="Arial" w:hAnsi="Arial" w:cs="Arial"/>
        </w:rPr>
        <w:t xml:space="preserve"> shared care requests</w:t>
      </w:r>
      <w:r w:rsidR="00AC31BB" w:rsidRPr="003A0F2E">
        <w:rPr>
          <w:rFonts w:ascii="Arial" w:hAnsi="Arial" w:cs="Arial"/>
        </w:rPr>
        <w:t xml:space="preserve"> for medicines </w:t>
      </w:r>
      <w:r w:rsidR="00745783" w:rsidRPr="003A0F2E">
        <w:rPr>
          <w:rFonts w:ascii="Arial" w:hAnsi="Arial" w:cs="Arial"/>
        </w:rPr>
        <w:t>in</w:t>
      </w:r>
      <w:r w:rsidR="00AC31BB" w:rsidRPr="003A0F2E">
        <w:rPr>
          <w:rFonts w:ascii="Arial" w:hAnsi="Arial" w:cs="Arial"/>
        </w:rPr>
        <w:t xml:space="preserve"> the ‘</w:t>
      </w:r>
      <w:r w:rsidR="00AC31BB" w:rsidRPr="003A0F2E">
        <w:rPr>
          <w:rFonts w:ascii="Arial" w:hAnsi="Arial" w:cs="Arial"/>
          <w:i/>
          <w:iCs/>
        </w:rPr>
        <w:t>shared care arrangements in place’</w:t>
      </w:r>
      <w:r w:rsidR="00AC31BB" w:rsidRPr="003A0F2E">
        <w:rPr>
          <w:rFonts w:ascii="Arial" w:hAnsi="Arial" w:cs="Arial"/>
        </w:rPr>
        <w:t xml:space="preserve"> column (see appendix </w:t>
      </w:r>
      <w:r w:rsidR="008E2996">
        <w:rPr>
          <w:rFonts w:ascii="Arial" w:hAnsi="Arial" w:cs="Arial"/>
        </w:rPr>
        <w:t>1</w:t>
      </w:r>
      <w:r w:rsidR="00AC31BB" w:rsidRPr="003A0F2E">
        <w:rPr>
          <w:rFonts w:ascii="Arial" w:hAnsi="Arial" w:cs="Arial"/>
        </w:rPr>
        <w:t>),</w:t>
      </w:r>
      <w:r w:rsidRPr="003A0F2E">
        <w:rPr>
          <w:rFonts w:ascii="Arial" w:hAnsi="Arial" w:cs="Arial"/>
        </w:rPr>
        <w:t xml:space="preserve"> at the start of Q3. </w:t>
      </w:r>
    </w:p>
    <w:p w:rsidR="009C1D87" w:rsidRPr="003A0F2E" w:rsidRDefault="009C1D87" w:rsidP="009C1D87">
      <w:pPr>
        <w:pStyle w:val="ListParagraph"/>
        <w:rPr>
          <w:rFonts w:ascii="Arial" w:hAnsi="Arial" w:cs="Arial"/>
        </w:rPr>
      </w:pPr>
    </w:p>
    <w:p w:rsidR="00276A03" w:rsidRPr="003A0F2E" w:rsidRDefault="009C1D87" w:rsidP="009C1D87">
      <w:pPr>
        <w:pStyle w:val="ListParagraph"/>
        <w:rPr>
          <w:rFonts w:ascii="Arial" w:hAnsi="Arial" w:cs="Arial"/>
        </w:rPr>
      </w:pPr>
      <w:r w:rsidRPr="003A0F2E">
        <w:rPr>
          <w:rFonts w:ascii="Arial" w:hAnsi="Arial" w:cs="Arial"/>
        </w:rPr>
        <w:t xml:space="preserve">The information required will be in the form of a QI audit and submitted centrally to the SCOM programme. </w:t>
      </w:r>
      <w:r w:rsidR="001B2F21">
        <w:rPr>
          <w:rFonts w:ascii="Arial" w:hAnsi="Arial" w:cs="Arial"/>
        </w:rPr>
        <w:t xml:space="preserve">The QI audit will focus on overarching themes from the shared care medicines that were declined during the year and request feedback on how to improve SCOM pathways. </w:t>
      </w:r>
      <w:r w:rsidR="003C322E">
        <w:rPr>
          <w:rFonts w:ascii="Arial" w:hAnsi="Arial" w:cs="Arial"/>
        </w:rPr>
        <w:t>The submission will be through MS forms.</w:t>
      </w:r>
    </w:p>
    <w:p w:rsidR="00FC345C" w:rsidRPr="003A0F2E" w:rsidRDefault="00FC345C" w:rsidP="00FF427C">
      <w:pPr>
        <w:rPr>
          <w:rFonts w:ascii="Arial" w:hAnsi="Arial" w:cs="Arial"/>
        </w:rPr>
      </w:pPr>
    </w:p>
    <w:p w:rsidR="004B502B" w:rsidRPr="003A0F2E" w:rsidRDefault="004B1E7E" w:rsidP="004B502B">
      <w:pPr>
        <w:rPr>
          <w:rFonts w:ascii="Arial" w:hAnsi="Arial" w:cs="Arial"/>
          <w:b/>
          <w:bCs/>
        </w:rPr>
      </w:pPr>
      <w:r w:rsidRPr="003A0F2E">
        <w:rPr>
          <w:rFonts w:ascii="Arial" w:hAnsi="Arial" w:cs="Arial"/>
          <w:b/>
          <w:bCs/>
        </w:rPr>
        <w:t>1e</w:t>
      </w:r>
      <w:r w:rsidR="001B2F21">
        <w:rPr>
          <w:rFonts w:ascii="Arial" w:hAnsi="Arial" w:cs="Arial"/>
          <w:b/>
          <w:bCs/>
        </w:rPr>
        <w:t>)</w:t>
      </w:r>
      <w:r w:rsidRPr="003A0F2E">
        <w:rPr>
          <w:rFonts w:ascii="Arial" w:hAnsi="Arial" w:cs="Arial"/>
          <w:b/>
          <w:bCs/>
        </w:rPr>
        <w:t xml:space="preserve"> </w:t>
      </w:r>
      <w:r w:rsidR="004B502B" w:rsidRPr="003A0F2E">
        <w:rPr>
          <w:rFonts w:ascii="Arial" w:hAnsi="Arial" w:cs="Arial"/>
          <w:b/>
          <w:bCs/>
        </w:rPr>
        <w:t>Ongoing monitoring and prescribing of Shared Care of Medicines</w:t>
      </w:r>
      <w:r w:rsidR="000D7039" w:rsidRPr="003A0F2E">
        <w:rPr>
          <w:rFonts w:ascii="Arial" w:hAnsi="Arial" w:cs="Arial"/>
          <w:b/>
          <w:bCs/>
        </w:rPr>
        <w:t>**</w:t>
      </w:r>
      <w:r w:rsidR="004B502B" w:rsidRPr="003A0F2E">
        <w:rPr>
          <w:rFonts w:ascii="Arial" w:hAnsi="Arial" w:cs="Arial"/>
          <w:b/>
          <w:bCs/>
        </w:rPr>
        <w:t>:</w:t>
      </w:r>
    </w:p>
    <w:p w:rsidR="00FC345C" w:rsidRDefault="004B502B" w:rsidP="001B2F21">
      <w:pPr>
        <w:pStyle w:val="ListParagraph"/>
        <w:numPr>
          <w:ilvl w:val="0"/>
          <w:numId w:val="30"/>
        </w:numPr>
        <w:contextualSpacing w:val="0"/>
        <w:jc w:val="both"/>
        <w:rPr>
          <w:rFonts w:ascii="Arial" w:hAnsi="Arial" w:cs="Arial"/>
        </w:rPr>
      </w:pPr>
      <w:r w:rsidRPr="003A0F2E">
        <w:rPr>
          <w:rFonts w:ascii="Arial" w:hAnsi="Arial" w:cs="Arial"/>
        </w:rPr>
        <w:t xml:space="preserve">The GP </w:t>
      </w:r>
      <w:r w:rsidR="000B4744" w:rsidRPr="003A0F2E">
        <w:rPr>
          <w:rFonts w:ascii="Arial" w:hAnsi="Arial" w:cs="Arial"/>
        </w:rPr>
        <w:t>practice</w:t>
      </w:r>
      <w:r w:rsidRPr="003A0F2E">
        <w:rPr>
          <w:rFonts w:ascii="Arial" w:hAnsi="Arial" w:cs="Arial"/>
        </w:rPr>
        <w:t xml:space="preserve"> will ensure that an efficient and effective call and recall system is in place for ongoing monitoring requirements</w:t>
      </w:r>
      <w:r w:rsidR="00335568" w:rsidRPr="003A0F2E">
        <w:rPr>
          <w:rFonts w:ascii="Arial" w:hAnsi="Arial" w:cs="Arial"/>
        </w:rPr>
        <w:t xml:space="preserve"> as per the </w:t>
      </w:r>
      <w:hyperlink r:id="rId15" w:history="1">
        <w:r w:rsidR="00335568" w:rsidRPr="003A0F2E">
          <w:rPr>
            <w:rStyle w:val="Hyperlink"/>
            <w:rFonts w:ascii="Arial" w:hAnsi="Arial" w:cs="Arial"/>
          </w:rPr>
          <w:t>GMMMG shared care protocol</w:t>
        </w:r>
      </w:hyperlink>
      <w:r w:rsidR="008F6A37" w:rsidRPr="003A0F2E">
        <w:rPr>
          <w:rFonts w:ascii="Arial" w:hAnsi="Arial" w:cs="Arial"/>
        </w:rPr>
        <w:t>s</w:t>
      </w:r>
      <w:r w:rsidR="00FC345C" w:rsidRPr="003A0F2E">
        <w:rPr>
          <w:rFonts w:ascii="Arial" w:hAnsi="Arial" w:cs="Arial"/>
        </w:rPr>
        <w:t xml:space="preserve">. </w:t>
      </w:r>
    </w:p>
    <w:p w:rsidR="00A85636" w:rsidRPr="00A85636" w:rsidRDefault="001B2F21" w:rsidP="00A85636">
      <w:pPr>
        <w:pStyle w:val="ListParagraph"/>
        <w:numPr>
          <w:ilvl w:val="0"/>
          <w:numId w:val="30"/>
        </w:numPr>
        <w:jc w:val="both"/>
        <w:rPr>
          <w:rFonts w:ascii="Arial" w:hAnsi="Arial" w:cs="Arial"/>
          <w:b/>
          <w:bCs/>
        </w:rPr>
      </w:pPr>
      <w:r w:rsidRPr="000868A9">
        <w:rPr>
          <w:rFonts w:ascii="Arial" w:hAnsi="Arial" w:cs="Arial"/>
        </w:rPr>
        <w:t>Th</w:t>
      </w:r>
      <w:r w:rsidR="00A85636">
        <w:rPr>
          <w:rFonts w:ascii="Arial" w:hAnsi="Arial" w:cs="Arial"/>
        </w:rPr>
        <w:t>is</w:t>
      </w:r>
      <w:r w:rsidRPr="000868A9">
        <w:rPr>
          <w:rFonts w:ascii="Arial" w:hAnsi="Arial" w:cs="Arial"/>
        </w:rPr>
        <w:t xml:space="preserve"> </w:t>
      </w:r>
      <w:r w:rsidR="00A85636">
        <w:rPr>
          <w:rFonts w:ascii="Arial" w:hAnsi="Arial" w:cs="Arial"/>
        </w:rPr>
        <w:t xml:space="preserve">forerunner </w:t>
      </w:r>
      <w:r w:rsidRPr="000868A9">
        <w:rPr>
          <w:rFonts w:ascii="Arial" w:hAnsi="Arial" w:cs="Arial"/>
        </w:rPr>
        <w:t xml:space="preserve">scheme acknowledges that GP practices may </w:t>
      </w:r>
      <w:r>
        <w:rPr>
          <w:rFonts w:ascii="Arial" w:hAnsi="Arial" w:cs="Arial"/>
        </w:rPr>
        <w:t>continue</w:t>
      </w:r>
      <w:r w:rsidRPr="000868A9">
        <w:rPr>
          <w:rFonts w:ascii="Arial" w:hAnsi="Arial" w:cs="Arial"/>
        </w:rPr>
        <w:t xml:space="preserve"> shared care </w:t>
      </w:r>
      <w:r>
        <w:rPr>
          <w:rFonts w:ascii="Arial" w:hAnsi="Arial" w:cs="Arial"/>
        </w:rPr>
        <w:t>arrangements</w:t>
      </w:r>
      <w:r w:rsidRPr="000868A9">
        <w:rPr>
          <w:rFonts w:ascii="Arial" w:hAnsi="Arial" w:cs="Arial"/>
        </w:rPr>
        <w:t xml:space="preserve"> </w:t>
      </w:r>
      <w:r w:rsidR="00FE42C1">
        <w:rPr>
          <w:rFonts w:ascii="Arial" w:hAnsi="Arial" w:cs="Arial"/>
        </w:rPr>
        <w:t>where patients are already established on medications</w:t>
      </w:r>
      <w:r w:rsidR="00FE42C1" w:rsidRPr="000868A9">
        <w:rPr>
          <w:rFonts w:ascii="Arial" w:hAnsi="Arial" w:cs="Arial"/>
        </w:rPr>
        <w:t xml:space="preserve"> </w:t>
      </w:r>
      <w:r w:rsidR="00FE42C1">
        <w:rPr>
          <w:rFonts w:ascii="Arial" w:hAnsi="Arial" w:cs="Arial"/>
        </w:rPr>
        <w:t xml:space="preserve">by managing </w:t>
      </w:r>
      <w:r w:rsidRPr="000868A9">
        <w:rPr>
          <w:rFonts w:ascii="Arial" w:hAnsi="Arial" w:cs="Arial"/>
        </w:rPr>
        <w:t>concerns and any associated risks in the best interests of the individual patient</w:t>
      </w:r>
      <w:r w:rsidR="00975871">
        <w:rPr>
          <w:rFonts w:ascii="Arial" w:hAnsi="Arial" w:cs="Arial"/>
        </w:rPr>
        <w:t xml:space="preserve"> </w:t>
      </w:r>
      <w:r w:rsidR="00FE42C1">
        <w:rPr>
          <w:rFonts w:ascii="Arial" w:hAnsi="Arial" w:cs="Arial"/>
        </w:rPr>
        <w:t>(</w:t>
      </w:r>
      <w:r w:rsidR="00975871">
        <w:rPr>
          <w:rFonts w:ascii="Arial" w:hAnsi="Arial" w:cs="Arial"/>
        </w:rPr>
        <w:t xml:space="preserve">whilst </w:t>
      </w:r>
      <w:r w:rsidR="00FE42C1">
        <w:rPr>
          <w:rFonts w:ascii="Arial" w:hAnsi="Arial" w:cs="Arial"/>
        </w:rPr>
        <w:t xml:space="preserve">ongoing </w:t>
      </w:r>
      <w:r w:rsidR="00975871">
        <w:rPr>
          <w:rFonts w:ascii="Arial" w:hAnsi="Arial" w:cs="Arial"/>
        </w:rPr>
        <w:t>rapid resolution takes place with the specialist service or through the SCOM programme</w:t>
      </w:r>
      <w:r w:rsidR="00FE42C1">
        <w:rPr>
          <w:rFonts w:ascii="Arial" w:hAnsi="Arial" w:cs="Arial"/>
        </w:rPr>
        <w:t>)</w:t>
      </w:r>
      <w:r w:rsidRPr="000868A9">
        <w:rPr>
          <w:rFonts w:ascii="Arial" w:hAnsi="Arial" w:cs="Arial"/>
        </w:rPr>
        <w:t xml:space="preserve">. The decision to </w:t>
      </w:r>
      <w:r>
        <w:rPr>
          <w:rFonts w:ascii="Arial" w:hAnsi="Arial" w:cs="Arial"/>
        </w:rPr>
        <w:t>continue to prescribe and provide ongoing monitoring</w:t>
      </w:r>
      <w:r w:rsidRPr="000868A9">
        <w:rPr>
          <w:rFonts w:ascii="Arial" w:hAnsi="Arial" w:cs="Arial"/>
        </w:rPr>
        <w:t xml:space="preserve"> in this instance </w:t>
      </w:r>
      <w:r w:rsidR="00FE42C1">
        <w:rPr>
          <w:rFonts w:ascii="Arial" w:hAnsi="Arial" w:cs="Arial"/>
        </w:rPr>
        <w:t>is held by</w:t>
      </w:r>
      <w:r>
        <w:rPr>
          <w:rFonts w:ascii="Arial" w:hAnsi="Arial" w:cs="Arial"/>
        </w:rPr>
        <w:t xml:space="preserve"> the</w:t>
      </w:r>
      <w:r w:rsidRPr="000868A9">
        <w:rPr>
          <w:rFonts w:ascii="Arial" w:hAnsi="Arial" w:cs="Arial"/>
        </w:rPr>
        <w:t xml:space="preserve"> GP practice. </w:t>
      </w:r>
      <w:r>
        <w:rPr>
          <w:rFonts w:ascii="Arial" w:hAnsi="Arial" w:cs="Arial"/>
        </w:rPr>
        <w:t xml:space="preserve">In this instance the GP </w:t>
      </w:r>
      <w:r w:rsidR="001A5517">
        <w:rPr>
          <w:rFonts w:ascii="Arial" w:hAnsi="Arial" w:cs="Arial"/>
        </w:rPr>
        <w:t>p</w:t>
      </w:r>
      <w:r w:rsidR="003D69DC">
        <w:rPr>
          <w:rFonts w:ascii="Arial" w:hAnsi="Arial" w:cs="Arial"/>
        </w:rPr>
        <w:t>ractice</w:t>
      </w:r>
      <w:r>
        <w:rPr>
          <w:rFonts w:ascii="Arial" w:hAnsi="Arial" w:cs="Arial"/>
        </w:rPr>
        <w:t xml:space="preserve"> </w:t>
      </w:r>
      <w:r w:rsidR="00FE42C1">
        <w:rPr>
          <w:rFonts w:ascii="Arial" w:hAnsi="Arial" w:cs="Arial"/>
        </w:rPr>
        <w:t>should add</w:t>
      </w:r>
      <w:r>
        <w:rPr>
          <w:rFonts w:ascii="Arial" w:hAnsi="Arial" w:cs="Arial"/>
        </w:rPr>
        <w:t xml:space="preserve"> the cod</w:t>
      </w:r>
      <w:r w:rsidR="00FE42C1">
        <w:rPr>
          <w:rFonts w:ascii="Arial" w:hAnsi="Arial" w:cs="Arial"/>
        </w:rPr>
        <w:t>e</w:t>
      </w:r>
      <w:r w:rsidRPr="000868A9">
        <w:rPr>
          <w:rFonts w:ascii="Arial" w:hAnsi="Arial" w:cs="Arial"/>
        </w:rPr>
        <w:t xml:space="preserve">: </w:t>
      </w:r>
      <w:r w:rsidR="00A85636" w:rsidRPr="00A85636">
        <w:rPr>
          <w:rFonts w:ascii="Arial" w:hAnsi="Arial" w:cs="Arial"/>
          <w:b/>
          <w:bCs/>
        </w:rPr>
        <w:t>management plan for shared care - SNOMED Concept ID 8803310000000106</w:t>
      </w:r>
      <w:r w:rsidR="00813490">
        <w:rPr>
          <w:rFonts w:ascii="Arial" w:hAnsi="Arial" w:cs="Arial"/>
          <w:b/>
          <w:bCs/>
        </w:rPr>
        <w:t>.</w:t>
      </w:r>
    </w:p>
    <w:p w:rsidR="001B2F21" w:rsidRPr="00A85636" w:rsidRDefault="004B502B" w:rsidP="00A85636">
      <w:pPr>
        <w:pStyle w:val="ListParagraph"/>
        <w:numPr>
          <w:ilvl w:val="0"/>
          <w:numId w:val="30"/>
        </w:numPr>
        <w:jc w:val="both"/>
        <w:rPr>
          <w:rFonts w:ascii="Arial" w:hAnsi="Arial" w:cs="Arial"/>
          <w:b/>
          <w:bCs/>
        </w:rPr>
      </w:pPr>
      <w:r w:rsidRPr="003A0F2E">
        <w:rPr>
          <w:rFonts w:ascii="Arial" w:hAnsi="Arial" w:cs="Arial"/>
        </w:rPr>
        <w:t xml:space="preserve">If the GP </w:t>
      </w:r>
      <w:r w:rsidR="000B4744" w:rsidRPr="003A0F2E">
        <w:rPr>
          <w:rFonts w:ascii="Arial" w:hAnsi="Arial" w:cs="Arial"/>
        </w:rPr>
        <w:t>practice</w:t>
      </w:r>
      <w:r w:rsidRPr="003A0F2E">
        <w:rPr>
          <w:rFonts w:ascii="Arial" w:hAnsi="Arial" w:cs="Arial"/>
        </w:rPr>
        <w:t xml:space="preserve"> is </w:t>
      </w:r>
      <w:r w:rsidRPr="00A85636">
        <w:rPr>
          <w:rFonts w:ascii="Arial" w:hAnsi="Arial" w:cs="Arial"/>
          <w:u w:val="single"/>
        </w:rPr>
        <w:t>unable</w:t>
      </w:r>
      <w:r w:rsidRPr="003A0F2E">
        <w:rPr>
          <w:rFonts w:ascii="Arial" w:hAnsi="Arial" w:cs="Arial"/>
        </w:rPr>
        <w:t xml:space="preserve"> to continue sharing the care of the medicine</w:t>
      </w:r>
      <w:r w:rsidR="009F2221" w:rsidRPr="003A0F2E">
        <w:rPr>
          <w:rFonts w:ascii="Arial" w:hAnsi="Arial" w:cs="Arial"/>
        </w:rPr>
        <w:t xml:space="preserve"> with the specialist, the GP </w:t>
      </w:r>
      <w:r w:rsidR="001A5517">
        <w:rPr>
          <w:rFonts w:ascii="Arial" w:hAnsi="Arial" w:cs="Arial"/>
        </w:rPr>
        <w:t>p</w:t>
      </w:r>
      <w:r w:rsidR="003D69DC">
        <w:rPr>
          <w:rFonts w:ascii="Arial" w:hAnsi="Arial" w:cs="Arial"/>
        </w:rPr>
        <w:t>ractice</w:t>
      </w:r>
      <w:r w:rsidR="009F2221" w:rsidRPr="003A0F2E">
        <w:rPr>
          <w:rFonts w:ascii="Arial" w:hAnsi="Arial" w:cs="Arial"/>
        </w:rPr>
        <w:t xml:space="preserve">, must contact specialist services to </w:t>
      </w:r>
      <w:r w:rsidR="00D94AC5" w:rsidRPr="003A0F2E">
        <w:rPr>
          <w:rFonts w:ascii="Arial" w:hAnsi="Arial" w:cs="Arial"/>
        </w:rPr>
        <w:t>transfer</w:t>
      </w:r>
      <w:r w:rsidR="009F2221" w:rsidRPr="003A0F2E">
        <w:rPr>
          <w:rFonts w:ascii="Arial" w:hAnsi="Arial" w:cs="Arial"/>
        </w:rPr>
        <w:t xml:space="preserve"> the patient back into specialist care before prescribing and monitoring stops. The GP </w:t>
      </w:r>
      <w:r w:rsidR="003D69DC">
        <w:rPr>
          <w:rFonts w:ascii="Arial" w:hAnsi="Arial" w:cs="Arial"/>
        </w:rPr>
        <w:t>Practice</w:t>
      </w:r>
      <w:r w:rsidR="009F2221" w:rsidRPr="003A0F2E">
        <w:rPr>
          <w:rFonts w:ascii="Arial" w:hAnsi="Arial" w:cs="Arial"/>
        </w:rPr>
        <w:t xml:space="preserve"> must change the coding</w:t>
      </w:r>
      <w:r w:rsidR="00170EAA" w:rsidRPr="003A0F2E">
        <w:rPr>
          <w:rFonts w:ascii="Arial" w:hAnsi="Arial" w:cs="Arial"/>
        </w:rPr>
        <w:t xml:space="preserve"> to </w:t>
      </w:r>
      <w:r w:rsidR="005E30E4">
        <w:rPr>
          <w:rFonts w:ascii="Arial" w:hAnsi="Arial" w:cs="Arial"/>
        </w:rPr>
        <w:t>ended</w:t>
      </w:r>
      <w:r w:rsidR="001B2F21">
        <w:rPr>
          <w:rFonts w:ascii="Arial" w:hAnsi="Arial" w:cs="Arial"/>
        </w:rPr>
        <w:t xml:space="preserve"> </w:t>
      </w:r>
      <w:r w:rsidR="001B2F21" w:rsidRPr="00A85636">
        <w:rPr>
          <w:rFonts w:ascii="Arial" w:hAnsi="Arial" w:cs="Arial"/>
          <w:b/>
          <w:bCs/>
        </w:rPr>
        <w:t>‘</w:t>
      </w:r>
      <w:r w:rsidR="00A85636" w:rsidRPr="00A85636">
        <w:rPr>
          <w:rFonts w:ascii="Arial" w:hAnsi="Arial" w:cs="Arial"/>
          <w:b/>
          <w:bCs/>
        </w:rPr>
        <w:t>High risk treatment stopped - SNOMED Concept ID 170912005</w:t>
      </w:r>
      <w:r w:rsidR="00A85636">
        <w:rPr>
          <w:rFonts w:ascii="Arial" w:hAnsi="Arial" w:cs="Arial"/>
          <w:b/>
          <w:bCs/>
        </w:rPr>
        <w:t xml:space="preserve"> </w:t>
      </w:r>
      <w:r w:rsidR="001B2F21" w:rsidRPr="00A85636">
        <w:rPr>
          <w:rFonts w:ascii="Arial" w:hAnsi="Arial" w:cs="Arial"/>
        </w:rPr>
        <w:t xml:space="preserve">and </w:t>
      </w:r>
      <w:r w:rsidR="00A85636">
        <w:rPr>
          <w:rFonts w:ascii="Arial" w:hAnsi="Arial" w:cs="Arial"/>
        </w:rPr>
        <w:t xml:space="preserve">use the </w:t>
      </w:r>
      <w:r w:rsidR="00A85636" w:rsidRPr="00A85636">
        <w:rPr>
          <w:rFonts w:ascii="Arial" w:hAnsi="Arial" w:cs="Arial"/>
        </w:rPr>
        <w:t>shared</w:t>
      </w:r>
      <w:r w:rsidR="001B2F21" w:rsidRPr="00A85636">
        <w:rPr>
          <w:rFonts w:ascii="Arial" w:hAnsi="Arial" w:cs="Arial"/>
        </w:rPr>
        <w:t xml:space="preserve"> care medicines improvement form</w:t>
      </w:r>
      <w:r w:rsidR="00A85636">
        <w:rPr>
          <w:rFonts w:ascii="Arial" w:hAnsi="Arial" w:cs="Arial"/>
        </w:rPr>
        <w:t xml:space="preserve"> embedded on </w:t>
      </w:r>
      <w:r w:rsidR="005E30E4">
        <w:rPr>
          <w:rFonts w:ascii="Arial" w:hAnsi="Arial" w:cs="Arial"/>
        </w:rPr>
        <w:t>GP systems.</w:t>
      </w:r>
    </w:p>
    <w:p w:rsidR="00A76CB2" w:rsidRDefault="00A103F2" w:rsidP="00602FD3">
      <w:pPr>
        <w:pStyle w:val="ListParagraph"/>
        <w:numPr>
          <w:ilvl w:val="0"/>
          <w:numId w:val="30"/>
        </w:numPr>
        <w:rPr>
          <w:rFonts w:ascii="Arial" w:hAnsi="Arial" w:cs="Arial"/>
        </w:rPr>
      </w:pPr>
      <w:r w:rsidRPr="00A85636">
        <w:rPr>
          <w:rFonts w:ascii="Arial" w:hAnsi="Arial" w:cs="Arial"/>
        </w:rPr>
        <w:t xml:space="preserve">The GP </w:t>
      </w:r>
      <w:r w:rsidR="001A5517">
        <w:rPr>
          <w:rFonts w:ascii="Arial" w:hAnsi="Arial" w:cs="Arial"/>
        </w:rPr>
        <w:t>p</w:t>
      </w:r>
      <w:r w:rsidR="003D69DC">
        <w:rPr>
          <w:rFonts w:ascii="Arial" w:hAnsi="Arial" w:cs="Arial"/>
        </w:rPr>
        <w:t>ractice</w:t>
      </w:r>
      <w:r w:rsidRPr="00A85636">
        <w:rPr>
          <w:rFonts w:ascii="Arial" w:hAnsi="Arial" w:cs="Arial"/>
        </w:rPr>
        <w:t xml:space="preserve"> will also undertake a QI audit</w:t>
      </w:r>
      <w:r w:rsidR="00170EAA" w:rsidRPr="00A85636">
        <w:rPr>
          <w:rFonts w:ascii="Arial" w:hAnsi="Arial" w:cs="Arial"/>
        </w:rPr>
        <w:t xml:space="preserve"> if the threshold described in</w:t>
      </w:r>
      <w:r w:rsidRPr="00A85636">
        <w:rPr>
          <w:rFonts w:ascii="Arial" w:hAnsi="Arial" w:cs="Arial"/>
        </w:rPr>
        <w:t xml:space="preserve"> </w:t>
      </w:r>
      <w:r w:rsidR="001B2F21" w:rsidRPr="00A85636">
        <w:rPr>
          <w:rFonts w:ascii="Arial" w:hAnsi="Arial" w:cs="Arial"/>
        </w:rPr>
        <w:t xml:space="preserve">1d) </w:t>
      </w:r>
      <w:r w:rsidR="00FE42C1" w:rsidRPr="00A85636">
        <w:rPr>
          <w:rFonts w:ascii="Arial" w:hAnsi="Arial" w:cs="Arial"/>
        </w:rPr>
        <w:t>is met (Greater or equal to 40% declines out of all shared care requests for medicines in the ‘</w:t>
      </w:r>
      <w:r w:rsidR="00FE42C1" w:rsidRPr="00A85636">
        <w:rPr>
          <w:rFonts w:ascii="Arial" w:hAnsi="Arial" w:cs="Arial"/>
          <w:i/>
          <w:iCs/>
        </w:rPr>
        <w:t>shared care arrangements in place’</w:t>
      </w:r>
      <w:r w:rsidR="00FE42C1" w:rsidRPr="00A85636">
        <w:rPr>
          <w:rFonts w:ascii="Arial" w:hAnsi="Arial" w:cs="Arial"/>
        </w:rPr>
        <w:t xml:space="preserve"> column (see appendix 1), at the start of Q3.</w:t>
      </w:r>
      <w:r w:rsidR="00FE42C1">
        <w:rPr>
          <w:rFonts w:ascii="Arial" w:hAnsi="Arial" w:cs="Arial"/>
        </w:rPr>
        <w:t>)</w:t>
      </w:r>
      <w:r w:rsidR="00FE42C1" w:rsidRPr="00A85636">
        <w:rPr>
          <w:rFonts w:ascii="Arial" w:hAnsi="Arial" w:cs="Arial"/>
        </w:rPr>
        <w:t xml:space="preserve"> </w:t>
      </w:r>
    </w:p>
    <w:p w:rsidR="00A85636" w:rsidRPr="00A85636" w:rsidRDefault="00A85636" w:rsidP="00A85636">
      <w:pPr>
        <w:rPr>
          <w:rFonts w:ascii="Arial" w:hAnsi="Arial" w:cs="Arial"/>
        </w:rPr>
      </w:pPr>
    </w:p>
    <w:p w:rsidR="003077F5" w:rsidRPr="003A0F2E" w:rsidRDefault="00EB6CF2" w:rsidP="00602FD3">
      <w:pPr>
        <w:rPr>
          <w:rFonts w:ascii="Arial" w:hAnsi="Arial" w:cs="Arial"/>
          <w:b/>
          <w:bCs/>
          <w:i/>
          <w:iCs/>
        </w:rPr>
      </w:pPr>
      <w:r w:rsidRPr="003A0F2E">
        <w:rPr>
          <w:rFonts w:ascii="Arial" w:hAnsi="Arial" w:cs="Arial"/>
          <w:b/>
          <w:bCs/>
          <w:i/>
          <w:iCs/>
        </w:rPr>
        <w:t xml:space="preserve">Please </w:t>
      </w:r>
      <w:r w:rsidR="003077F5" w:rsidRPr="003A0F2E">
        <w:rPr>
          <w:rFonts w:ascii="Arial" w:hAnsi="Arial" w:cs="Arial"/>
          <w:b/>
          <w:bCs/>
          <w:i/>
          <w:iCs/>
        </w:rPr>
        <w:t>Note:</w:t>
      </w:r>
    </w:p>
    <w:p w:rsidR="00EB6CF2" w:rsidRPr="003A0F2E" w:rsidRDefault="00276A03" w:rsidP="00602FD3">
      <w:pPr>
        <w:rPr>
          <w:rFonts w:ascii="Arial" w:hAnsi="Arial" w:cs="Arial"/>
        </w:rPr>
      </w:pPr>
      <w:r w:rsidRPr="003A0F2E">
        <w:rPr>
          <w:rFonts w:ascii="Arial" w:hAnsi="Arial" w:cs="Arial"/>
        </w:rPr>
        <w:t>*</w:t>
      </w:r>
      <w:r w:rsidR="00A76CB2" w:rsidRPr="003A0F2E">
        <w:rPr>
          <w:rFonts w:ascii="Arial" w:hAnsi="Arial" w:cs="Arial"/>
        </w:rPr>
        <w:t xml:space="preserve">NHS GM acknowledges </w:t>
      </w:r>
      <w:r w:rsidR="00EB6CF2" w:rsidRPr="003A0F2E">
        <w:rPr>
          <w:rFonts w:ascii="Arial" w:hAnsi="Arial" w:cs="Arial"/>
        </w:rPr>
        <w:t xml:space="preserve">there are </w:t>
      </w:r>
      <w:r w:rsidR="00A76CB2" w:rsidRPr="003A0F2E">
        <w:rPr>
          <w:rFonts w:ascii="Arial" w:hAnsi="Arial" w:cs="Arial"/>
        </w:rPr>
        <w:t xml:space="preserve">current </w:t>
      </w:r>
      <w:r w:rsidR="00745783" w:rsidRPr="003A0F2E">
        <w:rPr>
          <w:rFonts w:ascii="Arial" w:hAnsi="Arial" w:cs="Arial"/>
          <w:i/>
          <w:iCs/>
        </w:rPr>
        <w:t>‘</w:t>
      </w:r>
      <w:r w:rsidR="00A76CB2" w:rsidRPr="003A0F2E">
        <w:rPr>
          <w:rFonts w:ascii="Arial" w:hAnsi="Arial" w:cs="Arial"/>
          <w:i/>
          <w:iCs/>
        </w:rPr>
        <w:t xml:space="preserve">shared care pathways </w:t>
      </w:r>
      <w:r w:rsidR="00EB6CF2" w:rsidRPr="003A0F2E">
        <w:rPr>
          <w:rFonts w:ascii="Arial" w:hAnsi="Arial" w:cs="Arial"/>
          <w:i/>
          <w:iCs/>
        </w:rPr>
        <w:t>under review</w:t>
      </w:r>
      <w:r w:rsidR="00745783" w:rsidRPr="003A0F2E">
        <w:rPr>
          <w:rFonts w:ascii="Arial" w:hAnsi="Arial" w:cs="Arial"/>
          <w:i/>
          <w:iCs/>
        </w:rPr>
        <w:t>’</w:t>
      </w:r>
      <w:r w:rsidR="00EB6CF2" w:rsidRPr="003A0F2E">
        <w:rPr>
          <w:rFonts w:ascii="Arial" w:hAnsi="Arial" w:cs="Arial"/>
        </w:rPr>
        <w:t xml:space="preserve"> (see appendix 1). The SCOM programme will be working with specialist services at pace to address the barriers to these arrangements with the aim to embed refreshed pathways during 25/26. </w:t>
      </w:r>
      <w:r w:rsidR="000D7039" w:rsidRPr="003A0F2E">
        <w:rPr>
          <w:rFonts w:ascii="Arial" w:hAnsi="Arial" w:cs="Arial"/>
        </w:rPr>
        <w:t>Therefore, the list</w:t>
      </w:r>
      <w:r w:rsidR="00B86D08" w:rsidRPr="003A0F2E">
        <w:rPr>
          <w:rFonts w:ascii="Arial" w:hAnsi="Arial" w:cs="Arial"/>
        </w:rPr>
        <w:t xml:space="preserve"> may</w:t>
      </w:r>
      <w:r w:rsidR="000D7039" w:rsidRPr="003A0F2E">
        <w:rPr>
          <w:rFonts w:ascii="Arial" w:hAnsi="Arial" w:cs="Arial"/>
        </w:rPr>
        <w:t xml:space="preserve"> </w:t>
      </w:r>
      <w:r w:rsidR="00FE42C1">
        <w:rPr>
          <w:rFonts w:ascii="Arial" w:hAnsi="Arial" w:cs="Arial"/>
        </w:rPr>
        <w:t>expand</w:t>
      </w:r>
      <w:r w:rsidR="00FE42C1" w:rsidRPr="003A0F2E">
        <w:rPr>
          <w:rFonts w:ascii="Arial" w:hAnsi="Arial" w:cs="Arial"/>
        </w:rPr>
        <w:t xml:space="preserve"> </w:t>
      </w:r>
      <w:r w:rsidR="000D7039" w:rsidRPr="003A0F2E">
        <w:rPr>
          <w:rFonts w:ascii="Arial" w:hAnsi="Arial" w:cs="Arial"/>
        </w:rPr>
        <w:t xml:space="preserve">during the year. </w:t>
      </w:r>
      <w:r w:rsidR="00A32E6C" w:rsidRPr="003A0F2E">
        <w:rPr>
          <w:rFonts w:ascii="Arial" w:hAnsi="Arial" w:cs="Arial"/>
        </w:rPr>
        <w:t>NHS GM</w:t>
      </w:r>
      <w:r w:rsidR="00EB6CF2" w:rsidRPr="003A0F2E">
        <w:rPr>
          <w:rFonts w:ascii="Arial" w:hAnsi="Arial" w:cs="Arial"/>
        </w:rPr>
        <w:t xml:space="preserve"> will inform GP </w:t>
      </w:r>
      <w:r w:rsidR="001A5517">
        <w:rPr>
          <w:rFonts w:ascii="Arial" w:hAnsi="Arial" w:cs="Arial"/>
        </w:rPr>
        <w:t>p</w:t>
      </w:r>
      <w:r w:rsidR="003D69DC">
        <w:rPr>
          <w:rFonts w:ascii="Arial" w:hAnsi="Arial" w:cs="Arial"/>
        </w:rPr>
        <w:t>ractice</w:t>
      </w:r>
      <w:r w:rsidR="00EB6CF2" w:rsidRPr="003A0F2E">
        <w:rPr>
          <w:rFonts w:ascii="Arial" w:hAnsi="Arial" w:cs="Arial"/>
        </w:rPr>
        <w:t xml:space="preserve">s when new arrangements are implemented to enable </w:t>
      </w:r>
      <w:r w:rsidR="00A32E6C" w:rsidRPr="003A0F2E">
        <w:rPr>
          <w:rFonts w:ascii="Arial" w:hAnsi="Arial" w:cs="Arial"/>
        </w:rPr>
        <w:t xml:space="preserve">GP </w:t>
      </w:r>
      <w:r w:rsidR="001A5517">
        <w:rPr>
          <w:rFonts w:ascii="Arial" w:hAnsi="Arial" w:cs="Arial"/>
        </w:rPr>
        <w:t>p</w:t>
      </w:r>
      <w:r w:rsidR="00FE42C1">
        <w:rPr>
          <w:rFonts w:ascii="Arial" w:hAnsi="Arial" w:cs="Arial"/>
        </w:rPr>
        <w:t>ractices</w:t>
      </w:r>
      <w:r w:rsidR="00FE42C1" w:rsidRPr="003A0F2E">
        <w:rPr>
          <w:rFonts w:ascii="Arial" w:hAnsi="Arial" w:cs="Arial"/>
        </w:rPr>
        <w:t xml:space="preserve"> </w:t>
      </w:r>
      <w:r w:rsidR="00A32E6C" w:rsidRPr="003A0F2E">
        <w:rPr>
          <w:rFonts w:ascii="Arial" w:hAnsi="Arial" w:cs="Arial"/>
        </w:rPr>
        <w:t xml:space="preserve">to </w:t>
      </w:r>
      <w:r w:rsidR="00B86D08" w:rsidRPr="003A0F2E">
        <w:rPr>
          <w:rFonts w:ascii="Arial" w:hAnsi="Arial" w:cs="Arial"/>
        </w:rPr>
        <w:t xml:space="preserve">further </w:t>
      </w:r>
      <w:r w:rsidR="00A32E6C" w:rsidRPr="003A0F2E">
        <w:rPr>
          <w:rFonts w:ascii="Arial" w:hAnsi="Arial" w:cs="Arial"/>
        </w:rPr>
        <w:t xml:space="preserve">determine safe and appropriate shared care arrangements. </w:t>
      </w:r>
      <w:r w:rsidRPr="003A0F2E">
        <w:rPr>
          <w:rFonts w:ascii="Arial" w:hAnsi="Arial" w:cs="Arial"/>
        </w:rPr>
        <w:t xml:space="preserve"> </w:t>
      </w:r>
    </w:p>
    <w:p w:rsidR="00A76CB2" w:rsidRPr="003A0F2E" w:rsidRDefault="00A76CB2" w:rsidP="00602FD3">
      <w:pPr>
        <w:rPr>
          <w:rFonts w:ascii="Arial" w:hAnsi="Arial" w:cs="Arial"/>
        </w:rPr>
      </w:pPr>
    </w:p>
    <w:p w:rsidR="007F299E" w:rsidRPr="003A0F2E" w:rsidRDefault="007F299E" w:rsidP="007F299E">
      <w:pPr>
        <w:rPr>
          <w:rFonts w:ascii="Arial" w:hAnsi="Arial" w:cs="Arial"/>
        </w:rPr>
      </w:pPr>
      <w:r w:rsidRPr="00A0754B">
        <w:rPr>
          <w:rFonts w:ascii="Arial" w:hAnsi="Arial" w:cs="Arial"/>
        </w:rPr>
        <w:t>** This scheme</w:t>
      </w:r>
      <w:r w:rsidRPr="007F299E">
        <w:rPr>
          <w:rFonts w:ascii="Arial" w:hAnsi="Arial" w:cs="Arial"/>
        </w:rPr>
        <w:t xml:space="preserve"> allows GP practices to continue prescribing medicines where shared care pathways are currently under review whilst extensive work is undertaken to bring the full shared care scheme in across GM in 26/27. GP practices should continue shared care or accept new requests where they feel assured to safely continue prescribing and monitoring the patient as per GMMMG SCPs and can manage concerns and any risks in the best interest of the individual patient.</w:t>
      </w:r>
    </w:p>
    <w:p w:rsidR="00602FD3" w:rsidRPr="003A0F2E" w:rsidRDefault="00602FD3" w:rsidP="00602FD3">
      <w:pPr>
        <w:rPr>
          <w:rFonts w:ascii="Arial" w:hAnsi="Arial" w:cs="Arial"/>
        </w:rPr>
      </w:pPr>
    </w:p>
    <w:p w:rsidR="00FF427C" w:rsidRPr="003A0F2E" w:rsidRDefault="00FF427C" w:rsidP="005928E5">
      <w:pPr>
        <w:rPr>
          <w:rFonts w:ascii="Arial" w:hAnsi="Arial" w:cs="Arial"/>
        </w:rPr>
      </w:pPr>
    </w:p>
    <w:p w:rsidR="00A35642" w:rsidRPr="003A0F2E" w:rsidRDefault="00A76CB2" w:rsidP="00A76CB2">
      <w:pPr>
        <w:rPr>
          <w:rFonts w:ascii="Arial" w:hAnsi="Arial" w:cs="Arial"/>
          <w:b/>
          <w:bCs/>
          <w:u w:val="single"/>
        </w:rPr>
      </w:pPr>
      <w:r w:rsidRPr="003A0F2E">
        <w:rPr>
          <w:rFonts w:ascii="Arial" w:hAnsi="Arial" w:cs="Arial"/>
          <w:b/>
          <w:bCs/>
          <w:u w:val="single"/>
        </w:rPr>
        <w:t xml:space="preserve">Component 2. </w:t>
      </w:r>
      <w:r w:rsidR="00A103F2" w:rsidRPr="003A0F2E">
        <w:rPr>
          <w:rFonts w:ascii="Arial" w:hAnsi="Arial" w:cs="Arial"/>
          <w:b/>
          <w:bCs/>
          <w:u w:val="single"/>
        </w:rPr>
        <w:t>Informing the</w:t>
      </w:r>
      <w:r w:rsidR="00335568" w:rsidRPr="003A0F2E">
        <w:rPr>
          <w:rFonts w:ascii="Arial" w:hAnsi="Arial" w:cs="Arial"/>
          <w:b/>
          <w:bCs/>
          <w:u w:val="single"/>
        </w:rPr>
        <w:t xml:space="preserve"> 26/27 </w:t>
      </w:r>
      <w:r w:rsidR="00A35642" w:rsidRPr="003A0F2E">
        <w:rPr>
          <w:rFonts w:ascii="Arial" w:hAnsi="Arial" w:cs="Arial"/>
          <w:b/>
          <w:bCs/>
          <w:u w:val="single"/>
        </w:rPr>
        <w:t>shared care scheme</w:t>
      </w:r>
    </w:p>
    <w:p w:rsidR="00A35642" w:rsidRPr="003A0F2E" w:rsidRDefault="00B37696" w:rsidP="00A35642">
      <w:pPr>
        <w:rPr>
          <w:rFonts w:ascii="Arial" w:hAnsi="Arial" w:cs="Arial"/>
          <w:i/>
          <w:iCs/>
        </w:rPr>
      </w:pPr>
      <w:r w:rsidRPr="003A0F2E">
        <w:rPr>
          <w:rFonts w:ascii="Arial" w:hAnsi="Arial" w:cs="Arial"/>
          <w:i/>
          <w:iCs/>
        </w:rPr>
        <w:t xml:space="preserve">The aim of this component is to support the re-design of the scheme and commissioning arrangements for 26/27 and to support mobilisation of refreshed pathways during the year. </w:t>
      </w:r>
    </w:p>
    <w:p w:rsidR="00B37696" w:rsidRPr="003A0F2E" w:rsidRDefault="00B37696" w:rsidP="00A35642">
      <w:pPr>
        <w:rPr>
          <w:rFonts w:ascii="Arial" w:hAnsi="Arial" w:cs="Arial"/>
          <w:i/>
          <w:iCs/>
        </w:rPr>
      </w:pPr>
    </w:p>
    <w:p w:rsidR="00A35642" w:rsidRPr="003A0F2E" w:rsidRDefault="00A35642" w:rsidP="00A35642">
      <w:pPr>
        <w:rPr>
          <w:rFonts w:ascii="Arial" w:hAnsi="Arial" w:cs="Arial"/>
          <w:i/>
          <w:iCs/>
        </w:rPr>
      </w:pPr>
      <w:r w:rsidRPr="003A0F2E">
        <w:rPr>
          <w:rFonts w:ascii="Arial" w:hAnsi="Arial" w:cs="Arial"/>
          <w:i/>
          <w:iCs/>
        </w:rPr>
        <w:t>Delivery:</w:t>
      </w:r>
    </w:p>
    <w:p w:rsidR="004B1E7E" w:rsidRPr="003A0F2E" w:rsidRDefault="001B2F21" w:rsidP="004B1E7E">
      <w:pPr>
        <w:rPr>
          <w:rFonts w:ascii="Arial" w:hAnsi="Arial" w:cs="Arial"/>
        </w:rPr>
      </w:pPr>
      <w:r w:rsidRPr="003A0F2E">
        <w:rPr>
          <w:rFonts w:ascii="Arial" w:hAnsi="Arial" w:cs="Arial"/>
          <w:b/>
          <w:bCs/>
        </w:rPr>
        <w:t>2a)</w:t>
      </w:r>
      <w:r w:rsidR="004B1E7E" w:rsidRPr="003A0F2E">
        <w:rPr>
          <w:rFonts w:ascii="Arial" w:hAnsi="Arial" w:cs="Arial"/>
          <w:i/>
          <w:iCs/>
        </w:rPr>
        <w:t xml:space="preserve"> </w:t>
      </w:r>
      <w:r w:rsidR="004B1E7E" w:rsidRPr="003A0F2E">
        <w:rPr>
          <w:rFonts w:ascii="Arial" w:hAnsi="Arial" w:cs="Arial"/>
        </w:rPr>
        <w:t>The GP practice will maintain an up-to-date register of patients who are on a shared care medicine. This will involve:</w:t>
      </w:r>
    </w:p>
    <w:p w:rsidR="001B2F21" w:rsidRDefault="004B1E7E" w:rsidP="001B2F21">
      <w:pPr>
        <w:pStyle w:val="ListParagraph"/>
        <w:numPr>
          <w:ilvl w:val="0"/>
          <w:numId w:val="31"/>
        </w:numPr>
        <w:rPr>
          <w:rFonts w:ascii="Arial" w:hAnsi="Arial" w:cs="Arial"/>
        </w:rPr>
      </w:pPr>
      <w:r w:rsidRPr="003A0F2E">
        <w:rPr>
          <w:rFonts w:ascii="Arial" w:hAnsi="Arial" w:cs="Arial"/>
        </w:rPr>
        <w:t xml:space="preserve">undertaking a search for all medicines that could be under a shared care arrangement </w:t>
      </w:r>
    </w:p>
    <w:p w:rsidR="001B2F21" w:rsidRDefault="004B1E7E" w:rsidP="001B2F21">
      <w:pPr>
        <w:pStyle w:val="ListParagraph"/>
        <w:numPr>
          <w:ilvl w:val="0"/>
          <w:numId w:val="31"/>
        </w:numPr>
        <w:rPr>
          <w:rFonts w:ascii="Arial" w:hAnsi="Arial" w:cs="Arial"/>
        </w:rPr>
      </w:pPr>
      <w:r w:rsidRPr="003A0F2E">
        <w:rPr>
          <w:rFonts w:ascii="Arial" w:hAnsi="Arial" w:cs="Arial"/>
        </w:rPr>
        <w:t>identify</w:t>
      </w:r>
      <w:r w:rsidR="001B2F21">
        <w:rPr>
          <w:rFonts w:ascii="Arial" w:hAnsi="Arial" w:cs="Arial"/>
        </w:rPr>
        <w:t>ing</w:t>
      </w:r>
      <w:r w:rsidRPr="003A0F2E">
        <w:rPr>
          <w:rFonts w:ascii="Arial" w:hAnsi="Arial" w:cs="Arial"/>
        </w:rPr>
        <w:t xml:space="preserve"> patients </w:t>
      </w:r>
      <w:r w:rsidR="00B636F0">
        <w:rPr>
          <w:rFonts w:ascii="Arial" w:hAnsi="Arial" w:cs="Arial"/>
        </w:rPr>
        <w:t>on a</w:t>
      </w:r>
      <w:r w:rsidRPr="003A0F2E">
        <w:rPr>
          <w:rFonts w:ascii="Arial" w:hAnsi="Arial" w:cs="Arial"/>
        </w:rPr>
        <w:t xml:space="preserve"> shared care </w:t>
      </w:r>
      <w:r w:rsidR="00B636F0">
        <w:rPr>
          <w:rFonts w:ascii="Arial" w:hAnsi="Arial" w:cs="Arial"/>
        </w:rPr>
        <w:t>medicine</w:t>
      </w:r>
    </w:p>
    <w:p w:rsidR="004B1E7E" w:rsidRPr="003A0F2E" w:rsidRDefault="001B2F21" w:rsidP="003A0F2E">
      <w:pPr>
        <w:pStyle w:val="ListParagraph"/>
        <w:numPr>
          <w:ilvl w:val="0"/>
          <w:numId w:val="31"/>
        </w:numPr>
        <w:rPr>
          <w:rFonts w:ascii="Arial" w:hAnsi="Arial" w:cs="Arial"/>
        </w:rPr>
      </w:pPr>
      <w:r>
        <w:rPr>
          <w:rFonts w:ascii="Arial" w:hAnsi="Arial" w:cs="Arial"/>
        </w:rPr>
        <w:t>Coding the patient</w:t>
      </w:r>
      <w:r w:rsidR="004B1E7E" w:rsidRPr="003A0F2E">
        <w:rPr>
          <w:rFonts w:ascii="Arial" w:hAnsi="Arial" w:cs="Arial"/>
        </w:rPr>
        <w:t xml:space="preserve"> records: </w:t>
      </w:r>
    </w:p>
    <w:p w:rsidR="001B2F21" w:rsidRDefault="004B1E7E" w:rsidP="001B2F21">
      <w:pPr>
        <w:pStyle w:val="ListParagraph"/>
        <w:numPr>
          <w:ilvl w:val="1"/>
          <w:numId w:val="31"/>
        </w:numPr>
        <w:rPr>
          <w:rFonts w:ascii="Arial" w:hAnsi="Arial" w:cs="Arial"/>
        </w:rPr>
      </w:pPr>
      <w:r w:rsidRPr="003A0F2E">
        <w:rPr>
          <w:rFonts w:ascii="Arial" w:hAnsi="Arial" w:cs="Arial"/>
        </w:rPr>
        <w:t>Accept</w:t>
      </w:r>
      <w:r w:rsidR="001B2F21">
        <w:rPr>
          <w:rFonts w:ascii="Arial" w:hAnsi="Arial" w:cs="Arial"/>
        </w:rPr>
        <w:t xml:space="preserve"> </w:t>
      </w:r>
      <w:r w:rsidR="001B2F21" w:rsidRPr="001B2F21">
        <w:rPr>
          <w:rFonts w:ascii="Arial" w:hAnsi="Arial" w:cs="Arial"/>
          <w:b/>
          <w:bCs/>
        </w:rPr>
        <w:t>- ‘</w:t>
      </w:r>
      <w:r w:rsidR="001B2F21" w:rsidRPr="003A0F2E">
        <w:rPr>
          <w:rFonts w:ascii="Arial" w:hAnsi="Arial" w:cs="Arial"/>
          <w:b/>
          <w:bCs/>
        </w:rPr>
        <w:t>Shared care prescribing’ – SNOMED ID: 2534089011</w:t>
      </w:r>
    </w:p>
    <w:p w:rsidR="003D69DC" w:rsidRPr="003D69DC" w:rsidRDefault="004B1E7E" w:rsidP="003D69DC">
      <w:pPr>
        <w:pStyle w:val="ListParagraph"/>
        <w:numPr>
          <w:ilvl w:val="1"/>
          <w:numId w:val="31"/>
        </w:numPr>
        <w:rPr>
          <w:rFonts w:ascii="Arial" w:hAnsi="Arial" w:cs="Arial"/>
          <w:b/>
          <w:bCs/>
        </w:rPr>
      </w:pPr>
      <w:r w:rsidRPr="003D69DC">
        <w:rPr>
          <w:rFonts w:ascii="Arial" w:hAnsi="Arial" w:cs="Arial"/>
        </w:rPr>
        <w:t>Accept</w:t>
      </w:r>
      <w:r w:rsidR="0060699F" w:rsidRPr="003D69DC">
        <w:rPr>
          <w:rFonts w:ascii="Arial" w:hAnsi="Arial" w:cs="Arial"/>
        </w:rPr>
        <w:t xml:space="preserve"> </w:t>
      </w:r>
      <w:r w:rsidR="003D69DC">
        <w:rPr>
          <w:rFonts w:ascii="Arial" w:hAnsi="Arial" w:cs="Arial"/>
        </w:rPr>
        <w:t>however</w:t>
      </w:r>
      <w:r w:rsidR="0060699F" w:rsidRPr="003D69DC">
        <w:rPr>
          <w:rFonts w:ascii="Arial" w:hAnsi="Arial" w:cs="Arial"/>
        </w:rPr>
        <w:t xml:space="preserve"> </w:t>
      </w:r>
      <w:r w:rsidRPr="003D69DC">
        <w:rPr>
          <w:rFonts w:ascii="Arial" w:hAnsi="Arial" w:cs="Arial"/>
        </w:rPr>
        <w:t>concerns remain</w:t>
      </w:r>
      <w:r w:rsidR="001B2F21" w:rsidRPr="003D69DC">
        <w:rPr>
          <w:rFonts w:ascii="Arial" w:hAnsi="Arial" w:cs="Arial"/>
        </w:rPr>
        <w:t xml:space="preserve"> with the SCOM pathway - </w:t>
      </w:r>
      <w:r w:rsidR="003D69DC" w:rsidRPr="003D69DC">
        <w:rPr>
          <w:rFonts w:ascii="Arial" w:hAnsi="Arial" w:cs="Arial"/>
          <w:b/>
          <w:bCs/>
        </w:rPr>
        <w:t>management plan for shared care - SNOMED Concept ID 8803310000000106</w:t>
      </w:r>
    </w:p>
    <w:p w:rsidR="004B1E7E" w:rsidRDefault="004B1E7E" w:rsidP="001B2F91">
      <w:pPr>
        <w:pStyle w:val="ListParagraph"/>
        <w:numPr>
          <w:ilvl w:val="1"/>
          <w:numId w:val="31"/>
        </w:numPr>
        <w:rPr>
          <w:rFonts w:ascii="Arial" w:hAnsi="Arial" w:cs="Arial"/>
        </w:rPr>
      </w:pPr>
      <w:r w:rsidRPr="003D69DC">
        <w:rPr>
          <w:rFonts w:ascii="Arial" w:hAnsi="Arial" w:cs="Arial"/>
        </w:rPr>
        <w:t>Declined</w:t>
      </w:r>
      <w:r w:rsidR="001B2F21" w:rsidRPr="003D69DC">
        <w:rPr>
          <w:rFonts w:ascii="Arial" w:hAnsi="Arial" w:cs="Arial"/>
        </w:rPr>
        <w:t xml:space="preserve">: </w:t>
      </w:r>
      <w:r w:rsidR="003D69DC" w:rsidRPr="003D69DC">
        <w:rPr>
          <w:rFonts w:ascii="Arial" w:hAnsi="Arial" w:cs="Arial"/>
          <w:b/>
          <w:bCs/>
        </w:rPr>
        <w:t xml:space="preserve">shared care prescribing declined’ – SNOMED Concept ID 415523003 </w:t>
      </w:r>
      <w:r w:rsidR="00F0753B" w:rsidRPr="003D69DC">
        <w:rPr>
          <w:rFonts w:ascii="Arial" w:hAnsi="Arial" w:cs="Arial"/>
        </w:rPr>
        <w:t>(Note:</w:t>
      </w:r>
      <w:r w:rsidR="00B13501" w:rsidRPr="003D69DC">
        <w:rPr>
          <w:rFonts w:ascii="Arial" w:hAnsi="Arial" w:cs="Arial"/>
        </w:rPr>
        <w:t xml:space="preserve"> </w:t>
      </w:r>
      <w:r w:rsidR="00F0753B" w:rsidRPr="003D69DC">
        <w:rPr>
          <w:rFonts w:ascii="Arial" w:hAnsi="Arial" w:cs="Arial"/>
        </w:rPr>
        <w:t>w</w:t>
      </w:r>
      <w:r w:rsidR="00B13501" w:rsidRPr="003D69DC">
        <w:rPr>
          <w:rFonts w:ascii="Arial" w:hAnsi="Arial" w:cs="Arial"/>
        </w:rPr>
        <w:t xml:space="preserve">here prescribing of shared care medicines </w:t>
      </w:r>
      <w:r w:rsidR="00670560" w:rsidRPr="003D69DC">
        <w:rPr>
          <w:rFonts w:ascii="Arial" w:hAnsi="Arial" w:cs="Arial"/>
        </w:rPr>
        <w:t>remains</w:t>
      </w:r>
      <w:r w:rsidR="00B13501" w:rsidRPr="003D69DC">
        <w:rPr>
          <w:rFonts w:ascii="Arial" w:hAnsi="Arial" w:cs="Arial"/>
        </w:rPr>
        <w:t xml:space="preserve"> with the specialist service, GP practices must ensure this medicine is </w:t>
      </w:r>
      <w:r w:rsidR="003D69DC">
        <w:rPr>
          <w:rFonts w:ascii="Arial" w:hAnsi="Arial" w:cs="Arial"/>
        </w:rPr>
        <w:t>added to</w:t>
      </w:r>
      <w:r w:rsidR="00B13501" w:rsidRPr="003D69DC">
        <w:rPr>
          <w:rFonts w:ascii="Arial" w:hAnsi="Arial" w:cs="Arial"/>
        </w:rPr>
        <w:t xml:space="preserve"> the patient’s medication list as ‘hospital only’</w:t>
      </w:r>
      <w:r w:rsidR="003D69DC">
        <w:rPr>
          <w:rFonts w:ascii="Arial" w:hAnsi="Arial" w:cs="Arial"/>
        </w:rPr>
        <w:t xml:space="preserve"> or ‘drugs prescribed by others’</w:t>
      </w:r>
      <w:r w:rsidR="00670560">
        <w:rPr>
          <w:rFonts w:ascii="Arial" w:hAnsi="Arial" w:cs="Arial"/>
        </w:rPr>
        <w:t xml:space="preserve"> to ensure an </w:t>
      </w:r>
      <w:r w:rsidR="005E30E4">
        <w:rPr>
          <w:rFonts w:ascii="Arial" w:hAnsi="Arial" w:cs="Arial"/>
        </w:rPr>
        <w:t>up-to-date</w:t>
      </w:r>
      <w:r w:rsidR="00670560">
        <w:rPr>
          <w:rFonts w:ascii="Arial" w:hAnsi="Arial" w:cs="Arial"/>
        </w:rPr>
        <w:t xml:space="preserve"> medication history is available</w:t>
      </w:r>
      <w:r w:rsidR="00F0753B" w:rsidRPr="003D69DC">
        <w:rPr>
          <w:rFonts w:ascii="Arial" w:hAnsi="Arial" w:cs="Arial"/>
        </w:rPr>
        <w:t>)</w:t>
      </w:r>
    </w:p>
    <w:p w:rsidR="003D69DC" w:rsidRPr="003D69DC" w:rsidRDefault="003D69DC" w:rsidP="003D69DC">
      <w:pPr>
        <w:pStyle w:val="ListParagraph"/>
        <w:numPr>
          <w:ilvl w:val="1"/>
          <w:numId w:val="31"/>
        </w:numPr>
        <w:rPr>
          <w:rFonts w:ascii="Arial" w:hAnsi="Arial" w:cs="Arial"/>
        </w:rPr>
      </w:pPr>
      <w:r>
        <w:rPr>
          <w:rFonts w:ascii="Arial" w:hAnsi="Arial" w:cs="Arial"/>
        </w:rPr>
        <w:t xml:space="preserve">Shared care ended </w:t>
      </w:r>
      <w:r w:rsidRPr="003D69DC">
        <w:rPr>
          <w:rFonts w:ascii="Arial" w:hAnsi="Arial" w:cs="Arial"/>
          <w:b/>
          <w:bCs/>
        </w:rPr>
        <w:t>- High risk treatment stopped - SNOMED Concept ID 170912005</w:t>
      </w:r>
    </w:p>
    <w:p w:rsidR="004B1E7E" w:rsidRPr="003A0F2E" w:rsidRDefault="004B1E7E" w:rsidP="004B1E7E">
      <w:pPr>
        <w:rPr>
          <w:rFonts w:ascii="Arial" w:hAnsi="Arial" w:cs="Arial"/>
          <w:i/>
          <w:iCs/>
        </w:rPr>
      </w:pPr>
    </w:p>
    <w:p w:rsidR="004B1E7E" w:rsidRPr="003A0F2E" w:rsidRDefault="004B1E7E" w:rsidP="004B1E7E">
      <w:pPr>
        <w:rPr>
          <w:rFonts w:ascii="Arial" w:hAnsi="Arial" w:cs="Arial"/>
        </w:rPr>
      </w:pPr>
      <w:r w:rsidRPr="003A0F2E">
        <w:rPr>
          <w:rFonts w:ascii="Arial" w:hAnsi="Arial" w:cs="Arial"/>
          <w:b/>
          <w:bCs/>
        </w:rPr>
        <w:t>2b</w:t>
      </w:r>
      <w:r w:rsidR="001B2F21" w:rsidRPr="003A0F2E">
        <w:rPr>
          <w:rFonts w:ascii="Arial" w:hAnsi="Arial" w:cs="Arial"/>
          <w:b/>
          <w:bCs/>
        </w:rPr>
        <w:t>)</w:t>
      </w:r>
      <w:r w:rsidRPr="003A0F2E">
        <w:rPr>
          <w:rFonts w:ascii="Arial" w:hAnsi="Arial" w:cs="Arial"/>
        </w:rPr>
        <w:t xml:space="preserve"> The GP practice will complete a short survey in Q1 and another in Q</w:t>
      </w:r>
      <w:r w:rsidR="0060699F" w:rsidRPr="003A0F2E">
        <w:rPr>
          <w:rFonts w:ascii="Arial" w:hAnsi="Arial" w:cs="Arial"/>
        </w:rPr>
        <w:t>4</w:t>
      </w:r>
      <w:r w:rsidRPr="003A0F2E">
        <w:rPr>
          <w:rFonts w:ascii="Arial" w:hAnsi="Arial" w:cs="Arial"/>
        </w:rPr>
        <w:t xml:space="preserve"> on MS Forms. This survey will enable NHS GM to identify </w:t>
      </w:r>
      <w:r w:rsidR="0060699F" w:rsidRPr="003A0F2E">
        <w:rPr>
          <w:rFonts w:ascii="Arial" w:hAnsi="Arial" w:cs="Arial"/>
        </w:rPr>
        <w:t xml:space="preserve">whether any </w:t>
      </w:r>
      <w:r w:rsidR="00F0753B">
        <w:rPr>
          <w:rFonts w:ascii="Arial" w:hAnsi="Arial" w:cs="Arial"/>
        </w:rPr>
        <w:t xml:space="preserve">GM </w:t>
      </w:r>
      <w:r w:rsidR="0060699F" w:rsidRPr="003A0F2E">
        <w:rPr>
          <w:rFonts w:ascii="Arial" w:hAnsi="Arial" w:cs="Arial"/>
        </w:rPr>
        <w:t>improvement has been made on</w:t>
      </w:r>
      <w:r w:rsidRPr="003A0F2E">
        <w:rPr>
          <w:rFonts w:ascii="Arial" w:hAnsi="Arial" w:cs="Arial"/>
        </w:rPr>
        <w:t xml:space="preserve"> SCOM pathways during 25/26. </w:t>
      </w:r>
    </w:p>
    <w:p w:rsidR="004B1E7E" w:rsidRPr="003A0F2E" w:rsidRDefault="004B1E7E" w:rsidP="004B1E7E">
      <w:pPr>
        <w:rPr>
          <w:rFonts w:ascii="Arial" w:hAnsi="Arial" w:cs="Arial"/>
        </w:rPr>
      </w:pPr>
    </w:p>
    <w:p w:rsidR="0060699F" w:rsidRPr="003A0F2E" w:rsidRDefault="004B1E7E" w:rsidP="004B1E7E">
      <w:pPr>
        <w:rPr>
          <w:rFonts w:ascii="Arial" w:hAnsi="Arial" w:cs="Arial"/>
        </w:rPr>
      </w:pPr>
      <w:r w:rsidRPr="003A0F2E">
        <w:rPr>
          <w:rFonts w:ascii="Arial" w:hAnsi="Arial" w:cs="Arial"/>
          <w:b/>
          <w:bCs/>
        </w:rPr>
        <w:t>2c</w:t>
      </w:r>
      <w:r w:rsidR="001B2F21">
        <w:rPr>
          <w:rFonts w:ascii="Arial" w:hAnsi="Arial" w:cs="Arial"/>
        </w:rPr>
        <w:t>)</w:t>
      </w:r>
      <w:r w:rsidRPr="003A0F2E">
        <w:rPr>
          <w:rFonts w:ascii="Arial" w:hAnsi="Arial" w:cs="Arial"/>
        </w:rPr>
        <w:t xml:space="preserve"> The GP practice will </w:t>
      </w:r>
      <w:r w:rsidR="00F0753B">
        <w:rPr>
          <w:rFonts w:ascii="Arial" w:hAnsi="Arial" w:cs="Arial"/>
        </w:rPr>
        <w:t>nominate a minimum of 1</w:t>
      </w:r>
      <w:r w:rsidR="003C4D2B" w:rsidRPr="003A0F2E">
        <w:rPr>
          <w:rFonts w:ascii="Arial" w:hAnsi="Arial" w:cs="Arial"/>
        </w:rPr>
        <w:t xml:space="preserve"> clinician</w:t>
      </w:r>
      <w:r w:rsidR="0060699F" w:rsidRPr="003A0F2E">
        <w:rPr>
          <w:rFonts w:ascii="Arial" w:hAnsi="Arial" w:cs="Arial"/>
        </w:rPr>
        <w:t xml:space="preserve"> </w:t>
      </w:r>
      <w:r w:rsidRPr="003A0F2E">
        <w:rPr>
          <w:rFonts w:ascii="Arial" w:hAnsi="Arial" w:cs="Arial"/>
        </w:rPr>
        <w:t xml:space="preserve">join 1 engagement event </w:t>
      </w:r>
      <w:r w:rsidR="00F0753B">
        <w:rPr>
          <w:rFonts w:ascii="Arial" w:hAnsi="Arial" w:cs="Arial"/>
        </w:rPr>
        <w:t xml:space="preserve">(session will be held </w:t>
      </w:r>
      <w:r w:rsidRPr="003A0F2E">
        <w:rPr>
          <w:rFonts w:ascii="Arial" w:hAnsi="Arial" w:cs="Arial"/>
        </w:rPr>
        <w:t>online</w:t>
      </w:r>
      <w:r w:rsidR="00F0753B">
        <w:rPr>
          <w:rFonts w:ascii="Arial" w:hAnsi="Arial" w:cs="Arial"/>
        </w:rPr>
        <w:t xml:space="preserve">) during </w:t>
      </w:r>
      <w:r w:rsidRPr="003A0F2E">
        <w:rPr>
          <w:rFonts w:ascii="Arial" w:hAnsi="Arial" w:cs="Arial"/>
        </w:rPr>
        <w:t>Q3 which will provide updates to</w:t>
      </w:r>
      <w:r w:rsidR="0060699F" w:rsidRPr="003A0F2E">
        <w:rPr>
          <w:rFonts w:ascii="Arial" w:hAnsi="Arial" w:cs="Arial"/>
        </w:rPr>
        <w:t xml:space="preserve"> the</w:t>
      </w:r>
      <w:r w:rsidRPr="003A0F2E">
        <w:rPr>
          <w:rFonts w:ascii="Arial" w:hAnsi="Arial" w:cs="Arial"/>
        </w:rPr>
        <w:t xml:space="preserve"> SCOM programme</w:t>
      </w:r>
      <w:r w:rsidR="0060699F" w:rsidRPr="003A0F2E">
        <w:rPr>
          <w:rFonts w:ascii="Arial" w:hAnsi="Arial" w:cs="Arial"/>
        </w:rPr>
        <w:t xml:space="preserve">. </w:t>
      </w:r>
    </w:p>
    <w:p w:rsidR="005E0A14" w:rsidRPr="003A0F2E" w:rsidRDefault="005E0A14" w:rsidP="00A85636">
      <w:pPr>
        <w:rPr>
          <w:rFonts w:ascii="Arial" w:hAnsi="Arial" w:cs="Arial"/>
          <w:b/>
          <w:bCs/>
          <w:u w:val="single"/>
        </w:rPr>
      </w:pPr>
    </w:p>
    <w:p w:rsidR="00A851A8" w:rsidRPr="003A0F2E" w:rsidRDefault="00A851A8" w:rsidP="00B37696">
      <w:pPr>
        <w:jc w:val="center"/>
        <w:rPr>
          <w:rFonts w:ascii="Arial" w:hAnsi="Arial" w:cs="Arial"/>
          <w:b/>
          <w:bCs/>
          <w:u w:val="single"/>
        </w:rPr>
      </w:pPr>
      <w:r w:rsidRPr="003A0F2E">
        <w:rPr>
          <w:rFonts w:ascii="Arial" w:hAnsi="Arial" w:cs="Arial"/>
          <w:b/>
          <w:bCs/>
          <w:u w:val="single"/>
        </w:rPr>
        <w:t>Deliver</w:t>
      </w:r>
      <w:r w:rsidR="00B37696" w:rsidRPr="003A0F2E">
        <w:rPr>
          <w:rFonts w:ascii="Arial" w:hAnsi="Arial" w:cs="Arial"/>
          <w:b/>
          <w:bCs/>
          <w:u w:val="single"/>
        </w:rPr>
        <w:t>y</w:t>
      </w:r>
      <w:r w:rsidRPr="003A0F2E">
        <w:rPr>
          <w:rFonts w:ascii="Arial" w:hAnsi="Arial" w:cs="Arial"/>
          <w:b/>
          <w:bCs/>
          <w:u w:val="single"/>
        </w:rPr>
        <w:t xml:space="preserve"> 2025-2026</w:t>
      </w:r>
    </w:p>
    <w:p w:rsidR="00A851A8" w:rsidRPr="003A0F2E" w:rsidRDefault="00A851A8" w:rsidP="005E0A14">
      <w:pPr>
        <w:rPr>
          <w:rFonts w:ascii="Arial" w:hAnsi="Arial" w:cs="Arial"/>
          <w:b/>
          <w:bCs/>
          <w:u w:val="single"/>
        </w:rPr>
      </w:pPr>
    </w:p>
    <w:p w:rsidR="00A851A8" w:rsidRPr="003A0F2E" w:rsidRDefault="00A851A8" w:rsidP="00A851A8">
      <w:pPr>
        <w:rPr>
          <w:rFonts w:ascii="Arial" w:hAnsi="Arial" w:cs="Arial"/>
          <w:b/>
          <w:bCs/>
        </w:rPr>
      </w:pPr>
      <w:r w:rsidRPr="003A0F2E">
        <w:rPr>
          <w:rFonts w:ascii="Arial" w:hAnsi="Arial" w:cs="Arial"/>
          <w:b/>
          <w:bCs/>
        </w:rPr>
        <w:t>Preparation and Engagement</w:t>
      </w:r>
    </w:p>
    <w:p w:rsidR="00A851A8" w:rsidRPr="003A0F2E" w:rsidRDefault="00A851A8" w:rsidP="00A851A8">
      <w:pPr>
        <w:numPr>
          <w:ilvl w:val="0"/>
          <w:numId w:val="7"/>
        </w:numPr>
        <w:rPr>
          <w:rFonts w:ascii="Arial" w:hAnsi="Arial" w:cs="Arial"/>
        </w:rPr>
      </w:pPr>
      <w:r w:rsidRPr="003A0F2E">
        <w:rPr>
          <w:rFonts w:ascii="Arial" w:hAnsi="Arial" w:cs="Arial"/>
        </w:rPr>
        <w:t xml:space="preserve">GM and </w:t>
      </w:r>
      <w:r w:rsidR="00E660B3" w:rsidRPr="003A0F2E">
        <w:rPr>
          <w:rFonts w:ascii="Arial" w:hAnsi="Arial" w:cs="Arial"/>
        </w:rPr>
        <w:t xml:space="preserve">NHS GM </w:t>
      </w:r>
      <w:r w:rsidRPr="003A0F2E">
        <w:rPr>
          <w:rFonts w:ascii="Arial" w:hAnsi="Arial" w:cs="Arial"/>
        </w:rPr>
        <w:t xml:space="preserve">locality teams will work with </w:t>
      </w:r>
      <w:r w:rsidR="00E660B3" w:rsidRPr="003A0F2E">
        <w:rPr>
          <w:rFonts w:ascii="Arial" w:hAnsi="Arial" w:cs="Arial"/>
        </w:rPr>
        <w:t xml:space="preserve">GP </w:t>
      </w:r>
      <w:r w:rsidRPr="003A0F2E">
        <w:rPr>
          <w:rFonts w:ascii="Arial" w:hAnsi="Arial" w:cs="Arial"/>
        </w:rPr>
        <w:t xml:space="preserve">practices to launch the specification </w:t>
      </w:r>
    </w:p>
    <w:p w:rsidR="00A851A8" w:rsidRPr="003A0F2E" w:rsidRDefault="00A851A8" w:rsidP="00A851A8">
      <w:pPr>
        <w:numPr>
          <w:ilvl w:val="0"/>
          <w:numId w:val="7"/>
        </w:numPr>
        <w:rPr>
          <w:rFonts w:ascii="Arial" w:hAnsi="Arial" w:cs="Arial"/>
        </w:rPr>
      </w:pPr>
      <w:r w:rsidRPr="003A0F2E">
        <w:rPr>
          <w:rFonts w:ascii="Arial" w:hAnsi="Arial" w:cs="Arial"/>
        </w:rPr>
        <w:t xml:space="preserve">Each practice </w:t>
      </w:r>
      <w:r w:rsidR="00A32E6C" w:rsidRPr="003A0F2E">
        <w:rPr>
          <w:rFonts w:ascii="Arial" w:hAnsi="Arial" w:cs="Arial"/>
        </w:rPr>
        <w:t xml:space="preserve">will receive </w:t>
      </w:r>
      <w:r w:rsidR="00B86D08" w:rsidRPr="003A0F2E">
        <w:rPr>
          <w:rFonts w:ascii="Arial" w:hAnsi="Arial" w:cs="Arial"/>
        </w:rPr>
        <w:t>links to</w:t>
      </w:r>
      <w:r w:rsidR="00A32E6C" w:rsidRPr="003A0F2E">
        <w:rPr>
          <w:rFonts w:ascii="Arial" w:hAnsi="Arial" w:cs="Arial"/>
        </w:rPr>
        <w:t xml:space="preserve"> Microsoft office form</w:t>
      </w:r>
      <w:r w:rsidR="00B86D08" w:rsidRPr="003A0F2E">
        <w:rPr>
          <w:rFonts w:ascii="Arial" w:hAnsi="Arial" w:cs="Arial"/>
        </w:rPr>
        <w:t>s:</w:t>
      </w:r>
    </w:p>
    <w:p w:rsidR="00B86D08" w:rsidRPr="003A0F2E" w:rsidRDefault="00B86D08" w:rsidP="00B86D08">
      <w:pPr>
        <w:numPr>
          <w:ilvl w:val="1"/>
          <w:numId w:val="7"/>
        </w:numPr>
        <w:rPr>
          <w:rFonts w:ascii="Arial" w:hAnsi="Arial" w:cs="Arial"/>
        </w:rPr>
      </w:pPr>
      <w:r w:rsidRPr="003A0F2E">
        <w:rPr>
          <w:rFonts w:ascii="Arial" w:hAnsi="Arial" w:cs="Arial"/>
        </w:rPr>
        <w:t xml:space="preserve">The </w:t>
      </w:r>
      <w:r w:rsidR="00AC31BB" w:rsidRPr="003A0F2E">
        <w:rPr>
          <w:rFonts w:ascii="Arial" w:hAnsi="Arial" w:cs="Arial"/>
        </w:rPr>
        <w:t xml:space="preserve">short </w:t>
      </w:r>
      <w:r w:rsidRPr="003A0F2E">
        <w:rPr>
          <w:rFonts w:ascii="Arial" w:hAnsi="Arial" w:cs="Arial"/>
        </w:rPr>
        <w:t>survey</w:t>
      </w:r>
      <w:r w:rsidR="001F740D" w:rsidRPr="003A0F2E">
        <w:rPr>
          <w:rFonts w:ascii="Arial" w:hAnsi="Arial" w:cs="Arial"/>
        </w:rPr>
        <w:t>s</w:t>
      </w:r>
      <w:r w:rsidR="00E660B3" w:rsidRPr="003A0F2E">
        <w:rPr>
          <w:rFonts w:ascii="Arial" w:hAnsi="Arial" w:cs="Arial"/>
        </w:rPr>
        <w:t xml:space="preserve"> to be submitted </w:t>
      </w:r>
      <w:r w:rsidR="00F0753B">
        <w:rPr>
          <w:rFonts w:ascii="Arial" w:hAnsi="Arial" w:cs="Arial"/>
        </w:rPr>
        <w:t>(Q1 and Q4)</w:t>
      </w:r>
    </w:p>
    <w:p w:rsidR="00E660B3" w:rsidRPr="003A0F2E" w:rsidRDefault="00E660B3" w:rsidP="00B86D08">
      <w:pPr>
        <w:numPr>
          <w:ilvl w:val="1"/>
          <w:numId w:val="7"/>
        </w:numPr>
        <w:rPr>
          <w:rFonts w:ascii="Arial" w:hAnsi="Arial" w:cs="Arial"/>
        </w:rPr>
      </w:pPr>
      <w:r w:rsidRPr="003A0F2E">
        <w:rPr>
          <w:rFonts w:ascii="Arial" w:hAnsi="Arial" w:cs="Arial"/>
        </w:rPr>
        <w:t xml:space="preserve">The </w:t>
      </w:r>
      <w:r w:rsidR="004211EF" w:rsidRPr="003A0F2E">
        <w:rPr>
          <w:rFonts w:ascii="Arial" w:hAnsi="Arial" w:cs="Arial"/>
        </w:rPr>
        <w:t xml:space="preserve">shared care </w:t>
      </w:r>
      <w:r w:rsidR="001B2F21">
        <w:rPr>
          <w:rFonts w:ascii="Arial" w:hAnsi="Arial" w:cs="Arial"/>
        </w:rPr>
        <w:t xml:space="preserve">improvement </w:t>
      </w:r>
      <w:r w:rsidR="004211EF" w:rsidRPr="003A0F2E">
        <w:rPr>
          <w:rFonts w:ascii="Arial" w:hAnsi="Arial" w:cs="Arial"/>
        </w:rPr>
        <w:t xml:space="preserve">template </w:t>
      </w:r>
      <w:r w:rsidRPr="003A0F2E">
        <w:rPr>
          <w:rFonts w:ascii="Arial" w:hAnsi="Arial" w:cs="Arial"/>
        </w:rPr>
        <w:t xml:space="preserve">for </w:t>
      </w:r>
      <w:r w:rsidR="00745783" w:rsidRPr="003A0F2E">
        <w:rPr>
          <w:rFonts w:ascii="Arial" w:hAnsi="Arial" w:cs="Arial"/>
        </w:rPr>
        <w:t>medicines in the</w:t>
      </w:r>
      <w:r w:rsidRPr="003A0F2E">
        <w:rPr>
          <w:rFonts w:ascii="Arial" w:hAnsi="Arial" w:cs="Arial"/>
        </w:rPr>
        <w:t xml:space="preserve"> ‘</w:t>
      </w:r>
      <w:r w:rsidRPr="003A0F2E">
        <w:rPr>
          <w:rFonts w:ascii="Arial" w:hAnsi="Arial" w:cs="Arial"/>
          <w:i/>
          <w:iCs/>
        </w:rPr>
        <w:t>shared care arrangements in place</w:t>
      </w:r>
      <w:r w:rsidRPr="003A0F2E">
        <w:rPr>
          <w:rFonts w:ascii="Arial" w:hAnsi="Arial" w:cs="Arial"/>
        </w:rPr>
        <w:t>’ (see appendix 1)</w:t>
      </w:r>
      <w:r w:rsidR="00006414" w:rsidRPr="003A0F2E">
        <w:rPr>
          <w:rFonts w:ascii="Arial" w:hAnsi="Arial" w:cs="Arial"/>
        </w:rPr>
        <w:t xml:space="preserve"> column</w:t>
      </w:r>
      <w:r w:rsidRPr="003A0F2E">
        <w:rPr>
          <w:rFonts w:ascii="Arial" w:hAnsi="Arial" w:cs="Arial"/>
        </w:rPr>
        <w:t xml:space="preserve"> that are </w:t>
      </w:r>
      <w:r w:rsidR="001F740D" w:rsidRPr="003A0F2E">
        <w:rPr>
          <w:rFonts w:ascii="Arial" w:hAnsi="Arial" w:cs="Arial"/>
        </w:rPr>
        <w:t>declined</w:t>
      </w:r>
      <w:r w:rsidR="003D69DC">
        <w:rPr>
          <w:rFonts w:ascii="Arial" w:hAnsi="Arial" w:cs="Arial"/>
        </w:rPr>
        <w:t xml:space="preserve"> </w:t>
      </w:r>
    </w:p>
    <w:p w:rsidR="003D69DC" w:rsidRPr="003D69DC" w:rsidRDefault="00006414" w:rsidP="003D69DC">
      <w:pPr>
        <w:numPr>
          <w:ilvl w:val="1"/>
          <w:numId w:val="7"/>
        </w:numPr>
        <w:rPr>
          <w:rFonts w:ascii="Arial" w:hAnsi="Arial" w:cs="Arial"/>
        </w:rPr>
      </w:pPr>
      <w:r w:rsidRPr="003A0F2E">
        <w:rPr>
          <w:rFonts w:ascii="Arial" w:hAnsi="Arial" w:cs="Arial"/>
        </w:rPr>
        <w:t>The QI audit if the number of declines meet the threshold outlined in component 1</w:t>
      </w:r>
      <w:r w:rsidR="001B2F21">
        <w:rPr>
          <w:rFonts w:ascii="Arial" w:hAnsi="Arial" w:cs="Arial"/>
        </w:rPr>
        <w:t>d</w:t>
      </w:r>
      <w:r w:rsidRPr="003A0F2E">
        <w:rPr>
          <w:rFonts w:ascii="Arial" w:hAnsi="Arial" w:cs="Arial"/>
        </w:rPr>
        <w:t xml:space="preserve"> p</w:t>
      </w:r>
    </w:p>
    <w:p w:rsidR="003D69DC" w:rsidRPr="003D69DC" w:rsidRDefault="003D69DC" w:rsidP="003D69DC">
      <w:pPr>
        <w:numPr>
          <w:ilvl w:val="1"/>
          <w:numId w:val="7"/>
        </w:numPr>
        <w:rPr>
          <w:rFonts w:ascii="Arial" w:hAnsi="Arial" w:cs="Arial"/>
        </w:rPr>
      </w:pPr>
      <w:r w:rsidRPr="003A0F2E">
        <w:rPr>
          <w:rFonts w:ascii="Arial" w:hAnsi="Arial" w:cs="Arial"/>
        </w:rPr>
        <w:t xml:space="preserve">The shared care </w:t>
      </w:r>
      <w:r>
        <w:rPr>
          <w:rFonts w:ascii="Arial" w:hAnsi="Arial" w:cs="Arial"/>
        </w:rPr>
        <w:t xml:space="preserve">improvement </w:t>
      </w:r>
      <w:r w:rsidRPr="003A0F2E">
        <w:rPr>
          <w:rFonts w:ascii="Arial" w:hAnsi="Arial" w:cs="Arial"/>
        </w:rPr>
        <w:t>template for medicines in the ‘</w:t>
      </w:r>
      <w:r w:rsidRPr="003A0F2E">
        <w:rPr>
          <w:rFonts w:ascii="Arial" w:hAnsi="Arial" w:cs="Arial"/>
          <w:i/>
          <w:iCs/>
        </w:rPr>
        <w:t>shared care arrangements in place</w:t>
      </w:r>
      <w:r w:rsidRPr="003A0F2E">
        <w:rPr>
          <w:rFonts w:ascii="Arial" w:hAnsi="Arial" w:cs="Arial"/>
        </w:rPr>
        <w:t>’ (see appendix 1) column that are declined</w:t>
      </w:r>
      <w:r>
        <w:rPr>
          <w:rFonts w:ascii="Arial" w:hAnsi="Arial" w:cs="Arial"/>
        </w:rPr>
        <w:t xml:space="preserve"> </w:t>
      </w:r>
    </w:p>
    <w:p w:rsidR="00E660B3" w:rsidRPr="003A0F2E" w:rsidRDefault="00E660B3" w:rsidP="00E660B3">
      <w:pPr>
        <w:pStyle w:val="ListParagraph"/>
        <w:numPr>
          <w:ilvl w:val="0"/>
          <w:numId w:val="7"/>
        </w:numPr>
        <w:rPr>
          <w:rFonts w:ascii="Arial" w:hAnsi="Arial" w:cs="Arial"/>
        </w:rPr>
      </w:pPr>
      <w:r w:rsidRPr="003A0F2E">
        <w:rPr>
          <w:rFonts w:ascii="Arial" w:hAnsi="Arial" w:cs="Arial"/>
        </w:rPr>
        <w:t xml:space="preserve">NHS GM will share searches with GP </w:t>
      </w:r>
      <w:r w:rsidR="001A5517">
        <w:rPr>
          <w:rFonts w:ascii="Arial" w:hAnsi="Arial" w:cs="Arial"/>
        </w:rPr>
        <w:t>p</w:t>
      </w:r>
      <w:r w:rsidRPr="003A0F2E">
        <w:rPr>
          <w:rFonts w:ascii="Arial" w:hAnsi="Arial" w:cs="Arial"/>
        </w:rPr>
        <w:t xml:space="preserve">ractices to support maintaining an </w:t>
      </w:r>
      <w:r w:rsidR="00AC31BB" w:rsidRPr="003A0F2E">
        <w:rPr>
          <w:rFonts w:ascii="Arial" w:hAnsi="Arial" w:cs="Arial"/>
        </w:rPr>
        <w:t>up-to-date</w:t>
      </w:r>
      <w:r w:rsidRPr="003A0F2E">
        <w:rPr>
          <w:rFonts w:ascii="Arial" w:hAnsi="Arial" w:cs="Arial"/>
        </w:rPr>
        <w:t xml:space="preserve"> register</w:t>
      </w:r>
      <w:r w:rsidR="00C17133">
        <w:rPr>
          <w:rFonts w:ascii="Arial" w:hAnsi="Arial" w:cs="Arial"/>
        </w:rPr>
        <w:t xml:space="preserve">. All searches should be applicable to all GP practice systems including EMIS and </w:t>
      </w:r>
      <w:r w:rsidR="003D69DC">
        <w:rPr>
          <w:rFonts w:ascii="Arial" w:hAnsi="Arial" w:cs="Arial"/>
        </w:rPr>
        <w:t>SystmOne</w:t>
      </w:r>
      <w:r w:rsidR="001A5517">
        <w:rPr>
          <w:rFonts w:ascii="Arial" w:hAnsi="Arial" w:cs="Arial"/>
        </w:rPr>
        <w:t>.</w:t>
      </w:r>
    </w:p>
    <w:p w:rsidR="00E660B3" w:rsidRDefault="001F740D" w:rsidP="00E660B3">
      <w:pPr>
        <w:pStyle w:val="ListParagraph"/>
        <w:numPr>
          <w:ilvl w:val="0"/>
          <w:numId w:val="7"/>
        </w:numPr>
        <w:rPr>
          <w:rFonts w:ascii="Arial" w:hAnsi="Arial" w:cs="Arial"/>
        </w:rPr>
      </w:pPr>
      <w:r w:rsidRPr="003A0F2E">
        <w:rPr>
          <w:rFonts w:ascii="Arial" w:hAnsi="Arial" w:cs="Arial"/>
        </w:rPr>
        <w:t>GP practices to ensure processes are in place to accept</w:t>
      </w:r>
      <w:r w:rsidR="003A0F2E">
        <w:rPr>
          <w:rFonts w:ascii="Arial" w:hAnsi="Arial" w:cs="Arial"/>
        </w:rPr>
        <w:t xml:space="preserve">, </w:t>
      </w:r>
      <w:r w:rsidRPr="003A0F2E">
        <w:rPr>
          <w:rFonts w:ascii="Arial" w:hAnsi="Arial" w:cs="Arial"/>
        </w:rPr>
        <w:t xml:space="preserve">decline </w:t>
      </w:r>
      <w:r w:rsidR="003A0F2E">
        <w:rPr>
          <w:rFonts w:ascii="Arial" w:hAnsi="Arial" w:cs="Arial"/>
        </w:rPr>
        <w:t xml:space="preserve">or continue prescribing </w:t>
      </w:r>
      <w:r w:rsidRPr="003A0F2E">
        <w:rPr>
          <w:rFonts w:ascii="Arial" w:hAnsi="Arial" w:cs="Arial"/>
        </w:rPr>
        <w:t xml:space="preserve">shared care medicines and </w:t>
      </w:r>
      <w:r w:rsidR="00006414" w:rsidRPr="003A0F2E">
        <w:rPr>
          <w:rFonts w:ascii="Arial" w:hAnsi="Arial" w:cs="Arial"/>
        </w:rPr>
        <w:t>oversee</w:t>
      </w:r>
      <w:r w:rsidRPr="003A0F2E">
        <w:rPr>
          <w:rFonts w:ascii="Arial" w:hAnsi="Arial" w:cs="Arial"/>
        </w:rPr>
        <w:t xml:space="preserve"> monitoring requirements</w:t>
      </w:r>
    </w:p>
    <w:p w:rsidR="00460E61" w:rsidRPr="00460E61" w:rsidRDefault="00460E61" w:rsidP="00460E61">
      <w:pPr>
        <w:pStyle w:val="ListParagraph"/>
        <w:numPr>
          <w:ilvl w:val="0"/>
          <w:numId w:val="7"/>
        </w:numPr>
        <w:rPr>
          <w:rFonts w:ascii="Arial" w:hAnsi="Arial" w:cs="Arial"/>
          <w:sz w:val="28"/>
          <w:szCs w:val="28"/>
        </w:rPr>
      </w:pPr>
      <w:r w:rsidRPr="00460E61">
        <w:rPr>
          <w:rFonts w:ascii="Arial" w:hAnsi="Arial" w:cs="Arial"/>
        </w:rPr>
        <w:t>GP practice to support safety and quality of prescribing and the appropriate prescribing of red/amber medications through engagement with prescribing support tools</w:t>
      </w:r>
    </w:p>
    <w:p w:rsidR="00E660B3" w:rsidRPr="003A0F2E" w:rsidRDefault="00170EAA" w:rsidP="00170EAA">
      <w:pPr>
        <w:pStyle w:val="ListParagraph"/>
        <w:numPr>
          <w:ilvl w:val="0"/>
          <w:numId w:val="7"/>
        </w:numPr>
        <w:rPr>
          <w:rFonts w:ascii="Arial" w:hAnsi="Arial" w:cs="Arial"/>
        </w:rPr>
      </w:pPr>
      <w:r w:rsidRPr="003A0F2E">
        <w:rPr>
          <w:rFonts w:ascii="Arial" w:hAnsi="Arial" w:cs="Arial"/>
        </w:rPr>
        <w:t>Appendix 1 – the table will be hosted on GM tableau and continually updated throughout the year</w:t>
      </w:r>
      <w:r w:rsidR="001B2F21">
        <w:rPr>
          <w:rFonts w:ascii="Arial" w:hAnsi="Arial" w:cs="Arial"/>
        </w:rPr>
        <w:t xml:space="preserve">. All shared care protocols and arrangements are set out on GMMMG </w:t>
      </w:r>
    </w:p>
    <w:p w:rsidR="00BE28B0" w:rsidRPr="003A0F2E" w:rsidRDefault="00BE28B0" w:rsidP="00A851A8">
      <w:pPr>
        <w:rPr>
          <w:rFonts w:ascii="Arial" w:hAnsi="Arial" w:cs="Arial"/>
          <w:b/>
          <w:bCs/>
        </w:rPr>
      </w:pPr>
    </w:p>
    <w:p w:rsidR="00A851A8" w:rsidRPr="003A0F2E" w:rsidRDefault="00A851A8" w:rsidP="00A851A8">
      <w:pPr>
        <w:rPr>
          <w:rFonts w:ascii="Arial" w:hAnsi="Arial" w:cs="Arial"/>
          <w:b/>
          <w:bCs/>
        </w:rPr>
      </w:pPr>
      <w:r w:rsidRPr="003A0F2E">
        <w:rPr>
          <w:rFonts w:ascii="Arial" w:hAnsi="Arial" w:cs="Arial"/>
          <w:b/>
          <w:bCs/>
        </w:rPr>
        <w:t>Delivery</w:t>
      </w:r>
    </w:p>
    <w:p w:rsidR="000654AE" w:rsidRPr="003A0F2E" w:rsidRDefault="00E660B3" w:rsidP="00741A3B">
      <w:pPr>
        <w:pStyle w:val="ListParagraph"/>
        <w:numPr>
          <w:ilvl w:val="0"/>
          <w:numId w:val="7"/>
        </w:numPr>
        <w:rPr>
          <w:rFonts w:ascii="Arial" w:hAnsi="Arial" w:cs="Arial"/>
        </w:rPr>
      </w:pPr>
      <w:r w:rsidRPr="003A0F2E">
        <w:rPr>
          <w:rFonts w:ascii="Arial" w:hAnsi="Arial" w:cs="Arial"/>
        </w:rPr>
        <w:t xml:space="preserve">All </w:t>
      </w:r>
      <w:r w:rsidR="00006414" w:rsidRPr="003A0F2E">
        <w:rPr>
          <w:rFonts w:ascii="Arial" w:hAnsi="Arial" w:cs="Arial"/>
        </w:rPr>
        <w:t>s</w:t>
      </w:r>
      <w:r w:rsidRPr="003A0F2E">
        <w:rPr>
          <w:rFonts w:ascii="Arial" w:hAnsi="Arial" w:cs="Arial"/>
        </w:rPr>
        <w:t xml:space="preserve">hared care medicines will be </w:t>
      </w:r>
      <w:r w:rsidR="004211EF" w:rsidRPr="003A0F2E">
        <w:rPr>
          <w:rFonts w:ascii="Arial" w:hAnsi="Arial" w:cs="Arial"/>
        </w:rPr>
        <w:t>coded</w:t>
      </w:r>
      <w:r w:rsidRPr="003A0F2E">
        <w:rPr>
          <w:rFonts w:ascii="Arial" w:hAnsi="Arial" w:cs="Arial"/>
        </w:rPr>
        <w:t xml:space="preserve"> with either: </w:t>
      </w:r>
    </w:p>
    <w:p w:rsidR="001B2F21" w:rsidRDefault="001B2F21" w:rsidP="001B2F21">
      <w:pPr>
        <w:pStyle w:val="ListParagraph"/>
        <w:numPr>
          <w:ilvl w:val="1"/>
          <w:numId w:val="7"/>
        </w:numPr>
        <w:rPr>
          <w:rFonts w:ascii="Arial" w:hAnsi="Arial" w:cs="Arial"/>
        </w:rPr>
      </w:pPr>
      <w:r w:rsidRPr="000868A9">
        <w:rPr>
          <w:rFonts w:ascii="Arial" w:hAnsi="Arial" w:cs="Arial"/>
        </w:rPr>
        <w:t>Accept</w:t>
      </w:r>
      <w:r>
        <w:rPr>
          <w:rFonts w:ascii="Arial" w:hAnsi="Arial" w:cs="Arial"/>
        </w:rPr>
        <w:t xml:space="preserve"> </w:t>
      </w:r>
      <w:r w:rsidRPr="001B2F21">
        <w:rPr>
          <w:rFonts w:ascii="Arial" w:hAnsi="Arial" w:cs="Arial"/>
          <w:b/>
          <w:bCs/>
        </w:rPr>
        <w:t>- ‘</w:t>
      </w:r>
      <w:r w:rsidRPr="000868A9">
        <w:rPr>
          <w:rFonts w:ascii="Arial" w:hAnsi="Arial" w:cs="Arial"/>
          <w:b/>
          <w:bCs/>
        </w:rPr>
        <w:t>Shared care prescribing’ – SNOMED ID: 2534089011</w:t>
      </w:r>
    </w:p>
    <w:p w:rsidR="003D69DC" w:rsidRPr="003D69DC" w:rsidRDefault="001B2F21" w:rsidP="003D69DC">
      <w:pPr>
        <w:pStyle w:val="ListParagraph"/>
        <w:numPr>
          <w:ilvl w:val="1"/>
          <w:numId w:val="7"/>
        </w:numPr>
        <w:rPr>
          <w:rFonts w:ascii="Arial" w:hAnsi="Arial" w:cs="Arial"/>
          <w:b/>
          <w:bCs/>
        </w:rPr>
      </w:pPr>
      <w:r w:rsidRPr="003D69DC">
        <w:rPr>
          <w:rFonts w:ascii="Arial" w:hAnsi="Arial" w:cs="Arial"/>
        </w:rPr>
        <w:t xml:space="preserve">Accept </w:t>
      </w:r>
      <w:r w:rsidR="00F0753B" w:rsidRPr="003D69DC">
        <w:rPr>
          <w:rFonts w:ascii="Arial" w:hAnsi="Arial" w:cs="Arial"/>
        </w:rPr>
        <w:t xml:space="preserve">although some </w:t>
      </w:r>
      <w:r w:rsidRPr="003D69DC">
        <w:rPr>
          <w:rFonts w:ascii="Arial" w:hAnsi="Arial" w:cs="Arial"/>
        </w:rPr>
        <w:t xml:space="preserve">concerns remain with the SCOM pathway </w:t>
      </w:r>
      <w:r w:rsidR="003D69DC">
        <w:rPr>
          <w:rFonts w:ascii="Arial" w:hAnsi="Arial" w:cs="Arial"/>
        </w:rPr>
        <w:t>–</w:t>
      </w:r>
      <w:r w:rsidRPr="003D69DC">
        <w:rPr>
          <w:rFonts w:ascii="Arial" w:hAnsi="Arial" w:cs="Arial"/>
        </w:rPr>
        <w:t xml:space="preserve"> </w:t>
      </w:r>
      <w:r w:rsidR="003D69DC">
        <w:rPr>
          <w:rFonts w:ascii="Arial" w:hAnsi="Arial" w:cs="Arial"/>
        </w:rPr>
        <w:t>‘</w:t>
      </w:r>
      <w:r w:rsidR="003D69DC" w:rsidRPr="003D69DC">
        <w:rPr>
          <w:rFonts w:ascii="Arial" w:hAnsi="Arial" w:cs="Arial"/>
          <w:b/>
          <w:bCs/>
        </w:rPr>
        <w:t>management plan for shared care - SNOMED Concept ID 8803310000000106</w:t>
      </w:r>
      <w:r w:rsidR="003D69DC">
        <w:rPr>
          <w:rFonts w:ascii="Arial" w:hAnsi="Arial" w:cs="Arial"/>
          <w:b/>
          <w:bCs/>
        </w:rPr>
        <w:t>’</w:t>
      </w:r>
    </w:p>
    <w:p w:rsidR="001B2F21" w:rsidRPr="003D69DC" w:rsidRDefault="001B2F21" w:rsidP="00EA6B48">
      <w:pPr>
        <w:pStyle w:val="ListParagraph"/>
        <w:numPr>
          <w:ilvl w:val="1"/>
          <w:numId w:val="7"/>
        </w:numPr>
        <w:rPr>
          <w:rFonts w:ascii="Arial" w:hAnsi="Arial" w:cs="Arial"/>
        </w:rPr>
      </w:pPr>
      <w:r w:rsidRPr="003D69DC">
        <w:rPr>
          <w:rFonts w:ascii="Arial" w:hAnsi="Arial" w:cs="Arial"/>
        </w:rPr>
        <w:t xml:space="preserve">Declined: </w:t>
      </w:r>
      <w:r w:rsidRPr="003D69DC">
        <w:rPr>
          <w:rFonts w:ascii="Arial" w:hAnsi="Arial" w:cs="Arial"/>
          <w:b/>
          <w:bCs/>
        </w:rPr>
        <w:t>‘shared care prescribing declined’ – SNOMED ID 415523003</w:t>
      </w:r>
    </w:p>
    <w:p w:rsidR="003D69DC" w:rsidRPr="003D69DC" w:rsidRDefault="003D69DC" w:rsidP="003D69DC">
      <w:pPr>
        <w:pStyle w:val="ListParagraph"/>
        <w:numPr>
          <w:ilvl w:val="1"/>
          <w:numId w:val="7"/>
        </w:numPr>
        <w:rPr>
          <w:rFonts w:ascii="Arial" w:hAnsi="Arial" w:cs="Arial"/>
          <w:b/>
          <w:bCs/>
        </w:rPr>
      </w:pPr>
      <w:r w:rsidRPr="003D69DC">
        <w:rPr>
          <w:rFonts w:ascii="Arial" w:hAnsi="Arial" w:cs="Arial"/>
        </w:rPr>
        <w:t>Shared care ended:</w:t>
      </w:r>
      <w:r>
        <w:rPr>
          <w:rFonts w:ascii="Arial" w:hAnsi="Arial" w:cs="Arial"/>
          <w:b/>
          <w:bCs/>
        </w:rPr>
        <w:t xml:space="preserve"> </w:t>
      </w:r>
      <w:r w:rsidRPr="003D69DC">
        <w:rPr>
          <w:rFonts w:ascii="Arial" w:hAnsi="Arial" w:cs="Arial"/>
          <w:b/>
          <w:bCs/>
        </w:rPr>
        <w:t>High risk treatment stopped - SNOMED Concept ID 170912005</w:t>
      </w:r>
    </w:p>
    <w:p w:rsidR="00E660B3" w:rsidRPr="003A0F2E" w:rsidRDefault="00E660B3" w:rsidP="00E660B3">
      <w:pPr>
        <w:pStyle w:val="ListParagraph"/>
        <w:numPr>
          <w:ilvl w:val="0"/>
          <w:numId w:val="7"/>
        </w:numPr>
        <w:rPr>
          <w:rFonts w:ascii="Arial" w:hAnsi="Arial" w:cs="Arial"/>
        </w:rPr>
      </w:pPr>
      <w:r w:rsidRPr="003A0F2E">
        <w:rPr>
          <w:rFonts w:ascii="Arial" w:hAnsi="Arial" w:cs="Arial"/>
        </w:rPr>
        <w:t>All shared care medicines accepted will fulfil the monitoring requirements as per the GMMMG shared care protocols</w:t>
      </w:r>
      <w:r w:rsidR="00813490">
        <w:rPr>
          <w:rFonts w:ascii="Arial" w:hAnsi="Arial" w:cs="Arial"/>
        </w:rPr>
        <w:t>.</w:t>
      </w:r>
    </w:p>
    <w:p w:rsidR="00E660B3" w:rsidRPr="003A0F2E" w:rsidRDefault="00E660B3" w:rsidP="00E660B3">
      <w:pPr>
        <w:pStyle w:val="ListParagraph"/>
        <w:numPr>
          <w:ilvl w:val="0"/>
          <w:numId w:val="7"/>
        </w:numPr>
        <w:rPr>
          <w:rFonts w:ascii="Arial" w:hAnsi="Arial" w:cs="Arial"/>
        </w:rPr>
      </w:pPr>
      <w:r w:rsidRPr="003A0F2E">
        <w:rPr>
          <w:rFonts w:ascii="Arial" w:hAnsi="Arial" w:cs="Arial"/>
        </w:rPr>
        <w:t xml:space="preserve">Any shared care request declined that </w:t>
      </w:r>
      <w:r w:rsidR="000B4744" w:rsidRPr="003A0F2E">
        <w:rPr>
          <w:rFonts w:ascii="Arial" w:hAnsi="Arial" w:cs="Arial"/>
        </w:rPr>
        <w:t>includes</w:t>
      </w:r>
      <w:r w:rsidRPr="003A0F2E">
        <w:rPr>
          <w:rFonts w:ascii="Arial" w:hAnsi="Arial" w:cs="Arial"/>
        </w:rPr>
        <w:t xml:space="preserve"> medicines </w:t>
      </w:r>
      <w:r w:rsidR="000B4744" w:rsidRPr="003A0F2E">
        <w:rPr>
          <w:rFonts w:ascii="Arial" w:hAnsi="Arial" w:cs="Arial"/>
        </w:rPr>
        <w:t>in the</w:t>
      </w:r>
      <w:r w:rsidRPr="003A0F2E">
        <w:rPr>
          <w:rFonts w:ascii="Arial" w:hAnsi="Arial" w:cs="Arial"/>
        </w:rPr>
        <w:t xml:space="preserve"> ‘</w:t>
      </w:r>
      <w:r w:rsidRPr="003A0F2E">
        <w:rPr>
          <w:rFonts w:ascii="Arial" w:hAnsi="Arial" w:cs="Arial"/>
          <w:i/>
          <w:iCs/>
        </w:rPr>
        <w:t>shared care arrangements in place</w:t>
      </w:r>
      <w:r w:rsidRPr="003A0F2E">
        <w:rPr>
          <w:rFonts w:ascii="Arial" w:hAnsi="Arial" w:cs="Arial"/>
        </w:rPr>
        <w:t xml:space="preserve">’ </w:t>
      </w:r>
      <w:r w:rsidR="001F740D" w:rsidRPr="003A0F2E">
        <w:rPr>
          <w:rFonts w:ascii="Arial" w:hAnsi="Arial" w:cs="Arial"/>
        </w:rPr>
        <w:t xml:space="preserve">column (see appendix 1) will undertake a QI audit and submit to NHS GM </w:t>
      </w:r>
      <w:r w:rsidR="00B13501">
        <w:rPr>
          <w:rFonts w:ascii="Arial" w:hAnsi="Arial" w:cs="Arial"/>
        </w:rPr>
        <w:t>in</w:t>
      </w:r>
      <w:r w:rsidR="00B13501" w:rsidRPr="003A0F2E">
        <w:rPr>
          <w:rFonts w:ascii="Arial" w:hAnsi="Arial" w:cs="Arial"/>
        </w:rPr>
        <w:t xml:space="preserve"> </w:t>
      </w:r>
      <w:r w:rsidR="001F740D" w:rsidRPr="003A0F2E">
        <w:rPr>
          <w:rFonts w:ascii="Arial" w:hAnsi="Arial" w:cs="Arial"/>
        </w:rPr>
        <w:t>Q3</w:t>
      </w:r>
      <w:r w:rsidR="00AC31BB" w:rsidRPr="003A0F2E">
        <w:rPr>
          <w:rFonts w:ascii="Arial" w:hAnsi="Arial" w:cs="Arial"/>
        </w:rPr>
        <w:t xml:space="preserve"> if they meet the threshold</w:t>
      </w:r>
      <w:r w:rsidR="001B2F21">
        <w:rPr>
          <w:rFonts w:ascii="Arial" w:hAnsi="Arial" w:cs="Arial"/>
        </w:rPr>
        <w:t xml:space="preserve"> outlined in component 1d</w:t>
      </w:r>
      <w:r w:rsidR="00AC31BB" w:rsidRPr="003A0F2E">
        <w:rPr>
          <w:rFonts w:ascii="Arial" w:hAnsi="Arial" w:cs="Arial"/>
        </w:rPr>
        <w:t>.</w:t>
      </w:r>
      <w:r w:rsidR="001F740D" w:rsidRPr="003A0F2E">
        <w:rPr>
          <w:rFonts w:ascii="Arial" w:hAnsi="Arial" w:cs="Arial"/>
        </w:rPr>
        <w:t xml:space="preserve"> </w:t>
      </w:r>
    </w:p>
    <w:p w:rsidR="00741A3B" w:rsidRPr="003A0F2E" w:rsidRDefault="00741A3B" w:rsidP="00A851A8">
      <w:pPr>
        <w:rPr>
          <w:rFonts w:ascii="Arial" w:hAnsi="Arial" w:cs="Arial"/>
          <w:b/>
          <w:bCs/>
        </w:rPr>
      </w:pPr>
    </w:p>
    <w:p w:rsidR="00A851A8" w:rsidRPr="003A0F2E" w:rsidRDefault="00A851A8" w:rsidP="00A851A8">
      <w:pPr>
        <w:rPr>
          <w:rFonts w:ascii="Arial" w:hAnsi="Arial" w:cs="Arial"/>
          <w:b/>
          <w:bCs/>
        </w:rPr>
      </w:pPr>
      <w:r w:rsidRPr="003A0F2E">
        <w:rPr>
          <w:rFonts w:ascii="Arial" w:hAnsi="Arial" w:cs="Arial"/>
          <w:b/>
          <w:bCs/>
        </w:rPr>
        <w:t xml:space="preserve">Planned engagement and support offers for </w:t>
      </w:r>
      <w:r w:rsidR="001A5517">
        <w:rPr>
          <w:rFonts w:ascii="Arial" w:hAnsi="Arial" w:cs="Arial"/>
          <w:b/>
          <w:bCs/>
        </w:rPr>
        <w:t xml:space="preserve">GP </w:t>
      </w:r>
      <w:r w:rsidRPr="003A0F2E">
        <w:rPr>
          <w:rFonts w:ascii="Arial" w:hAnsi="Arial" w:cs="Arial"/>
          <w:b/>
          <w:bCs/>
        </w:rPr>
        <w:t>practices</w:t>
      </w:r>
      <w:r w:rsidR="001A5517">
        <w:rPr>
          <w:rFonts w:ascii="Arial" w:hAnsi="Arial" w:cs="Arial"/>
          <w:b/>
          <w:bCs/>
        </w:rPr>
        <w:t>:</w:t>
      </w:r>
    </w:p>
    <w:p w:rsidR="00A851A8" w:rsidRPr="003A0F2E" w:rsidRDefault="00A851A8" w:rsidP="00A851A8">
      <w:pPr>
        <w:numPr>
          <w:ilvl w:val="0"/>
          <w:numId w:val="7"/>
        </w:numPr>
        <w:rPr>
          <w:rFonts w:ascii="Arial" w:hAnsi="Arial" w:cs="Arial"/>
        </w:rPr>
      </w:pPr>
      <w:r w:rsidRPr="003A0F2E">
        <w:rPr>
          <w:rFonts w:ascii="Arial" w:hAnsi="Arial" w:cs="Arial"/>
        </w:rPr>
        <w:t xml:space="preserve">Launch </w:t>
      </w:r>
      <w:r w:rsidR="004211EF" w:rsidRPr="003A0F2E">
        <w:rPr>
          <w:rFonts w:ascii="Arial" w:hAnsi="Arial" w:cs="Arial"/>
        </w:rPr>
        <w:t>webinar</w:t>
      </w:r>
      <w:r w:rsidR="0060699F" w:rsidRPr="003A0F2E">
        <w:rPr>
          <w:rFonts w:ascii="Arial" w:hAnsi="Arial" w:cs="Arial"/>
        </w:rPr>
        <w:t xml:space="preserve"> (optional) </w:t>
      </w:r>
    </w:p>
    <w:p w:rsidR="00A851A8" w:rsidRPr="003A0F2E" w:rsidRDefault="00A851A8" w:rsidP="00A851A8">
      <w:pPr>
        <w:numPr>
          <w:ilvl w:val="0"/>
          <w:numId w:val="7"/>
        </w:numPr>
        <w:rPr>
          <w:rFonts w:ascii="Arial" w:hAnsi="Arial" w:cs="Arial"/>
        </w:rPr>
      </w:pPr>
      <w:r w:rsidRPr="003A0F2E">
        <w:rPr>
          <w:rFonts w:ascii="Arial" w:hAnsi="Arial" w:cs="Arial"/>
        </w:rPr>
        <w:t>Digital Webinar</w:t>
      </w:r>
      <w:r w:rsidR="0060699F" w:rsidRPr="003A0F2E">
        <w:rPr>
          <w:rFonts w:ascii="Arial" w:hAnsi="Arial" w:cs="Arial"/>
        </w:rPr>
        <w:t xml:space="preserve"> (optional)</w:t>
      </w:r>
      <w:r w:rsidRPr="003A0F2E">
        <w:rPr>
          <w:rFonts w:ascii="Arial" w:hAnsi="Arial" w:cs="Arial"/>
        </w:rPr>
        <w:t xml:space="preserve">: prescribing data; digital tools; coding </w:t>
      </w:r>
    </w:p>
    <w:p w:rsidR="00A851A8" w:rsidRPr="003A0F2E" w:rsidRDefault="004211EF">
      <w:pPr>
        <w:numPr>
          <w:ilvl w:val="0"/>
          <w:numId w:val="7"/>
        </w:numPr>
        <w:rPr>
          <w:rFonts w:ascii="Arial" w:hAnsi="Arial" w:cs="Arial"/>
        </w:rPr>
      </w:pPr>
      <w:r w:rsidRPr="003A0F2E">
        <w:rPr>
          <w:rFonts w:ascii="Arial" w:hAnsi="Arial" w:cs="Arial"/>
        </w:rPr>
        <w:t>Engagement</w:t>
      </w:r>
      <w:r w:rsidR="0060699F" w:rsidRPr="003A0F2E">
        <w:rPr>
          <w:rFonts w:ascii="Arial" w:hAnsi="Arial" w:cs="Arial"/>
        </w:rPr>
        <w:t xml:space="preserve"> event</w:t>
      </w:r>
      <w:r w:rsidR="00F0753B">
        <w:rPr>
          <w:rFonts w:ascii="Arial" w:hAnsi="Arial" w:cs="Arial"/>
        </w:rPr>
        <w:t xml:space="preserve"> (core to achievement of payment)</w:t>
      </w:r>
      <w:r w:rsidR="00A851A8" w:rsidRPr="003A0F2E">
        <w:rPr>
          <w:rFonts w:ascii="Arial" w:hAnsi="Arial" w:cs="Arial"/>
        </w:rPr>
        <w:t xml:space="preserve">: </w:t>
      </w:r>
      <w:r w:rsidR="00F0753B">
        <w:rPr>
          <w:rFonts w:ascii="Arial" w:hAnsi="Arial" w:cs="Arial"/>
        </w:rPr>
        <w:t xml:space="preserve">virtual to be held in Q3, minimum 1 clinician from practice to attend </w:t>
      </w:r>
    </w:p>
    <w:p w:rsidR="00A851A8" w:rsidRPr="003A0F2E" w:rsidRDefault="00A851A8" w:rsidP="005E0A14">
      <w:pPr>
        <w:rPr>
          <w:rFonts w:ascii="Arial" w:hAnsi="Arial" w:cs="Arial"/>
          <w:b/>
          <w:bCs/>
          <w:u w:val="single"/>
        </w:rPr>
      </w:pPr>
    </w:p>
    <w:p w:rsidR="00603E5C" w:rsidRPr="003A0F2E" w:rsidRDefault="00603E5C" w:rsidP="005E0A14">
      <w:pPr>
        <w:rPr>
          <w:rFonts w:ascii="Arial" w:hAnsi="Arial" w:cs="Arial"/>
          <w:b/>
          <w:bCs/>
          <w:u w:val="single"/>
        </w:rPr>
      </w:pPr>
      <w:r w:rsidRPr="003A0F2E">
        <w:rPr>
          <w:rFonts w:ascii="Arial" w:hAnsi="Arial" w:cs="Arial"/>
          <w:b/>
          <w:bCs/>
          <w:u w:val="single"/>
        </w:rPr>
        <w:t xml:space="preserve">Payment </w:t>
      </w:r>
    </w:p>
    <w:p w:rsidR="00276584" w:rsidRPr="003A0F2E" w:rsidRDefault="001F740D" w:rsidP="001F740D">
      <w:pPr>
        <w:pStyle w:val="ListParagraph"/>
        <w:numPr>
          <w:ilvl w:val="0"/>
          <w:numId w:val="14"/>
        </w:numPr>
        <w:rPr>
          <w:rFonts w:ascii="Arial" w:hAnsi="Arial" w:cs="Arial"/>
          <w:b/>
          <w:bCs/>
          <w:u w:val="single"/>
        </w:rPr>
      </w:pPr>
      <w:r w:rsidRPr="003A0F2E">
        <w:rPr>
          <w:rFonts w:ascii="Arial" w:hAnsi="Arial" w:cs="Arial"/>
        </w:rPr>
        <w:t>Paym</w:t>
      </w:r>
      <w:r w:rsidR="00276584" w:rsidRPr="003A0F2E">
        <w:rPr>
          <w:rFonts w:ascii="Arial" w:hAnsi="Arial" w:cs="Arial"/>
        </w:rPr>
        <w:t xml:space="preserve">ent will be </w:t>
      </w:r>
      <w:r w:rsidR="001B2F21">
        <w:rPr>
          <w:rFonts w:ascii="Arial" w:hAnsi="Arial" w:cs="Arial"/>
        </w:rPr>
        <w:t>£</w:t>
      </w:r>
      <w:r w:rsidR="00276584" w:rsidRPr="003A0F2E">
        <w:rPr>
          <w:rFonts w:ascii="Arial" w:hAnsi="Arial" w:cs="Arial"/>
        </w:rPr>
        <w:t xml:space="preserve">0.90php </w:t>
      </w:r>
      <w:r w:rsidR="001B2F21">
        <w:rPr>
          <w:rFonts w:ascii="Arial" w:hAnsi="Arial" w:cs="Arial"/>
        </w:rPr>
        <w:t>for</w:t>
      </w:r>
      <w:r w:rsidRPr="003A0F2E">
        <w:rPr>
          <w:rFonts w:ascii="Arial" w:hAnsi="Arial" w:cs="Arial"/>
        </w:rPr>
        <w:t xml:space="preserve"> activity</w:t>
      </w:r>
      <w:r w:rsidR="00276584" w:rsidRPr="003A0F2E">
        <w:rPr>
          <w:rFonts w:ascii="Arial" w:hAnsi="Arial" w:cs="Arial"/>
        </w:rPr>
        <w:t xml:space="preserve"> </w:t>
      </w:r>
      <w:r w:rsidR="001B2F21">
        <w:rPr>
          <w:rFonts w:ascii="Arial" w:hAnsi="Arial" w:cs="Arial"/>
        </w:rPr>
        <w:t xml:space="preserve">outlined in </w:t>
      </w:r>
      <w:r w:rsidR="00276584" w:rsidRPr="003A0F2E">
        <w:rPr>
          <w:rFonts w:ascii="Arial" w:hAnsi="Arial" w:cs="Arial"/>
        </w:rPr>
        <w:t>both components</w:t>
      </w:r>
      <w:r w:rsidR="001B2F21">
        <w:rPr>
          <w:rFonts w:ascii="Arial" w:hAnsi="Arial" w:cs="Arial"/>
        </w:rPr>
        <w:t>:</w:t>
      </w:r>
    </w:p>
    <w:p w:rsidR="00B37696" w:rsidRPr="003A0F2E" w:rsidRDefault="00B37696" w:rsidP="00B37696">
      <w:pPr>
        <w:pStyle w:val="ListParagraph"/>
        <w:numPr>
          <w:ilvl w:val="1"/>
          <w:numId w:val="14"/>
        </w:numPr>
        <w:rPr>
          <w:rFonts w:ascii="Arial" w:hAnsi="Arial" w:cs="Arial"/>
          <w:b/>
          <w:bCs/>
          <w:u w:val="single"/>
        </w:rPr>
      </w:pPr>
      <w:r w:rsidRPr="003A0F2E">
        <w:rPr>
          <w:rFonts w:ascii="Arial" w:hAnsi="Arial" w:cs="Arial"/>
        </w:rPr>
        <w:t>To review each shared care request in line with GMMMG SCPs and engage with</w:t>
      </w:r>
      <w:r w:rsidR="001C11C2" w:rsidRPr="003A0F2E">
        <w:rPr>
          <w:rFonts w:ascii="Arial" w:hAnsi="Arial" w:cs="Arial"/>
        </w:rPr>
        <w:t xml:space="preserve"> NHS GM approved</w:t>
      </w:r>
      <w:r w:rsidRPr="003A0F2E">
        <w:rPr>
          <w:rFonts w:ascii="Arial" w:hAnsi="Arial" w:cs="Arial"/>
        </w:rPr>
        <w:t xml:space="preserve"> specialist services</w:t>
      </w:r>
      <w:r w:rsidR="00813490">
        <w:rPr>
          <w:rFonts w:ascii="Arial" w:hAnsi="Arial" w:cs="Arial"/>
        </w:rPr>
        <w:t>.</w:t>
      </w:r>
    </w:p>
    <w:p w:rsidR="001F740D" w:rsidRPr="003A0F2E" w:rsidRDefault="001F740D" w:rsidP="001F740D">
      <w:pPr>
        <w:pStyle w:val="ListParagraph"/>
        <w:numPr>
          <w:ilvl w:val="1"/>
          <w:numId w:val="14"/>
        </w:numPr>
        <w:rPr>
          <w:rFonts w:ascii="Arial" w:hAnsi="Arial" w:cs="Arial"/>
        </w:rPr>
      </w:pPr>
      <w:r w:rsidRPr="003A0F2E">
        <w:rPr>
          <w:rFonts w:ascii="Arial" w:hAnsi="Arial" w:cs="Arial"/>
        </w:rPr>
        <w:t xml:space="preserve">to </w:t>
      </w:r>
      <w:r w:rsidR="003D69DC" w:rsidRPr="003A0F2E">
        <w:rPr>
          <w:rFonts w:ascii="Arial" w:hAnsi="Arial" w:cs="Arial"/>
        </w:rPr>
        <w:t>accept or</w:t>
      </w:r>
      <w:r w:rsidR="0060699F" w:rsidRPr="003A0F2E">
        <w:rPr>
          <w:rFonts w:ascii="Arial" w:hAnsi="Arial" w:cs="Arial"/>
        </w:rPr>
        <w:t xml:space="preserve"> </w:t>
      </w:r>
      <w:r w:rsidRPr="003A0F2E">
        <w:rPr>
          <w:rFonts w:ascii="Arial" w:hAnsi="Arial" w:cs="Arial"/>
        </w:rPr>
        <w:t>decline</w:t>
      </w:r>
      <w:r w:rsidR="0060699F" w:rsidRPr="003A0F2E">
        <w:rPr>
          <w:rFonts w:ascii="Arial" w:hAnsi="Arial" w:cs="Arial"/>
        </w:rPr>
        <w:t xml:space="preserve"> shared care requests or agree to prescribe when concerns remain with a SCOM </w:t>
      </w:r>
      <w:r w:rsidR="00937F3B" w:rsidRPr="003A0F2E">
        <w:rPr>
          <w:rFonts w:ascii="Arial" w:hAnsi="Arial" w:cs="Arial"/>
        </w:rPr>
        <w:t>pathway,</w:t>
      </w:r>
      <w:r w:rsidR="0060699F" w:rsidRPr="003A0F2E">
        <w:rPr>
          <w:rFonts w:ascii="Arial" w:hAnsi="Arial" w:cs="Arial"/>
        </w:rPr>
        <w:t xml:space="preserve"> but the risks can be managed </w:t>
      </w:r>
      <w:r w:rsidR="00703521" w:rsidRPr="003A0F2E">
        <w:rPr>
          <w:rFonts w:ascii="Arial" w:hAnsi="Arial" w:cs="Arial"/>
        </w:rPr>
        <w:t>safely,</w:t>
      </w:r>
      <w:r w:rsidR="0060699F" w:rsidRPr="003A0F2E">
        <w:rPr>
          <w:rFonts w:ascii="Arial" w:hAnsi="Arial" w:cs="Arial"/>
        </w:rPr>
        <w:t xml:space="preserve"> and it is in the best interest of the </w:t>
      </w:r>
      <w:r w:rsidR="003D69DC" w:rsidRPr="003A0F2E">
        <w:rPr>
          <w:rFonts w:ascii="Arial" w:hAnsi="Arial" w:cs="Arial"/>
        </w:rPr>
        <w:t>patient.</w:t>
      </w:r>
      <w:r w:rsidR="0060699F" w:rsidRPr="003A0F2E">
        <w:rPr>
          <w:rFonts w:ascii="Arial" w:hAnsi="Arial" w:cs="Arial"/>
        </w:rPr>
        <w:t xml:space="preserve"> All arrangements must be coded. </w:t>
      </w:r>
    </w:p>
    <w:p w:rsidR="001F740D" w:rsidRPr="003A0F2E" w:rsidRDefault="001F740D" w:rsidP="001F740D">
      <w:pPr>
        <w:pStyle w:val="ListParagraph"/>
        <w:numPr>
          <w:ilvl w:val="1"/>
          <w:numId w:val="14"/>
        </w:numPr>
        <w:rPr>
          <w:rFonts w:ascii="Arial" w:hAnsi="Arial" w:cs="Arial"/>
        </w:rPr>
      </w:pPr>
      <w:r w:rsidRPr="003A0F2E">
        <w:rPr>
          <w:rFonts w:ascii="Arial" w:hAnsi="Arial" w:cs="Arial"/>
        </w:rPr>
        <w:t xml:space="preserve">to deliver </w:t>
      </w:r>
      <w:r w:rsidR="001B2F21">
        <w:rPr>
          <w:rFonts w:ascii="Arial" w:hAnsi="Arial" w:cs="Arial"/>
        </w:rPr>
        <w:t xml:space="preserve">the arrangements for </w:t>
      </w:r>
      <w:r w:rsidRPr="003A0F2E">
        <w:rPr>
          <w:rFonts w:ascii="Arial" w:hAnsi="Arial" w:cs="Arial"/>
        </w:rPr>
        <w:t xml:space="preserve">any </w:t>
      </w:r>
      <w:r w:rsidR="00006414" w:rsidRPr="003A0F2E">
        <w:rPr>
          <w:rFonts w:ascii="Arial" w:hAnsi="Arial" w:cs="Arial"/>
        </w:rPr>
        <w:t xml:space="preserve">accepted </w:t>
      </w:r>
      <w:r w:rsidRPr="003A0F2E">
        <w:rPr>
          <w:rFonts w:ascii="Arial" w:hAnsi="Arial" w:cs="Arial"/>
        </w:rPr>
        <w:t xml:space="preserve">shared care medicine request </w:t>
      </w:r>
      <w:r w:rsidR="00006414" w:rsidRPr="003A0F2E">
        <w:rPr>
          <w:rFonts w:ascii="Arial" w:hAnsi="Arial" w:cs="Arial"/>
        </w:rPr>
        <w:t>in line with</w:t>
      </w:r>
      <w:r w:rsidRPr="003A0F2E">
        <w:rPr>
          <w:rFonts w:ascii="Arial" w:hAnsi="Arial" w:cs="Arial"/>
        </w:rPr>
        <w:t xml:space="preserve"> GMMMG </w:t>
      </w:r>
      <w:r w:rsidR="00006414" w:rsidRPr="003A0F2E">
        <w:rPr>
          <w:rFonts w:ascii="Arial" w:hAnsi="Arial" w:cs="Arial"/>
        </w:rPr>
        <w:t>protocols</w:t>
      </w:r>
      <w:r w:rsidR="00813490">
        <w:rPr>
          <w:rFonts w:ascii="Arial" w:hAnsi="Arial" w:cs="Arial"/>
        </w:rPr>
        <w:t>.</w:t>
      </w:r>
    </w:p>
    <w:p w:rsidR="00AC31BB" w:rsidRPr="003A0F2E" w:rsidRDefault="00AC31BB" w:rsidP="001F740D">
      <w:pPr>
        <w:pStyle w:val="ListParagraph"/>
        <w:numPr>
          <w:ilvl w:val="1"/>
          <w:numId w:val="14"/>
        </w:numPr>
        <w:rPr>
          <w:rFonts w:ascii="Arial" w:hAnsi="Arial" w:cs="Arial"/>
        </w:rPr>
      </w:pPr>
      <w:r w:rsidRPr="003A0F2E">
        <w:rPr>
          <w:rFonts w:ascii="Arial" w:hAnsi="Arial" w:cs="Arial"/>
        </w:rPr>
        <w:t xml:space="preserve">To </w:t>
      </w:r>
      <w:r w:rsidR="001A5517">
        <w:rPr>
          <w:rFonts w:ascii="Arial" w:hAnsi="Arial" w:cs="Arial"/>
        </w:rPr>
        <w:t>complete a</w:t>
      </w:r>
      <w:r w:rsidRPr="003A0F2E">
        <w:rPr>
          <w:rFonts w:ascii="Arial" w:hAnsi="Arial" w:cs="Arial"/>
        </w:rPr>
        <w:t xml:space="preserve"> shared care </w:t>
      </w:r>
      <w:r w:rsidR="001B2F21">
        <w:rPr>
          <w:rFonts w:ascii="Arial" w:hAnsi="Arial" w:cs="Arial"/>
        </w:rPr>
        <w:t xml:space="preserve">improvement </w:t>
      </w:r>
      <w:r w:rsidRPr="003A0F2E">
        <w:rPr>
          <w:rFonts w:ascii="Arial" w:hAnsi="Arial" w:cs="Arial"/>
        </w:rPr>
        <w:t xml:space="preserve">form for all shared care requests that cover </w:t>
      </w:r>
      <w:r w:rsidRPr="003A0F2E">
        <w:rPr>
          <w:rFonts w:ascii="Arial" w:hAnsi="Arial" w:cs="Arial"/>
          <w:i/>
          <w:iCs/>
        </w:rPr>
        <w:t>‘shared care arrangements in place’</w:t>
      </w:r>
      <w:r w:rsidR="00170EAA" w:rsidRPr="003A0F2E">
        <w:rPr>
          <w:rFonts w:ascii="Arial" w:hAnsi="Arial" w:cs="Arial"/>
          <w:i/>
          <w:iCs/>
        </w:rPr>
        <w:t xml:space="preserve"> </w:t>
      </w:r>
      <w:r w:rsidR="00170EAA" w:rsidRPr="003A0F2E">
        <w:rPr>
          <w:rFonts w:ascii="Arial" w:hAnsi="Arial" w:cs="Arial"/>
        </w:rPr>
        <w:t>medicines</w:t>
      </w:r>
      <w:r w:rsidRPr="003A0F2E">
        <w:rPr>
          <w:rFonts w:ascii="Arial" w:hAnsi="Arial" w:cs="Arial"/>
        </w:rPr>
        <w:t xml:space="preserve"> </w:t>
      </w:r>
      <w:r w:rsidR="00006414" w:rsidRPr="003A0F2E">
        <w:rPr>
          <w:rFonts w:ascii="Arial" w:hAnsi="Arial" w:cs="Arial"/>
        </w:rPr>
        <w:t>(See appendix 1)</w:t>
      </w:r>
      <w:r w:rsidR="001B2F21">
        <w:rPr>
          <w:rFonts w:ascii="Arial" w:hAnsi="Arial" w:cs="Arial"/>
        </w:rPr>
        <w:t xml:space="preserve"> which are declined.</w:t>
      </w:r>
      <w:r w:rsidRPr="003A0F2E">
        <w:rPr>
          <w:rFonts w:ascii="Arial" w:hAnsi="Arial" w:cs="Arial"/>
        </w:rPr>
        <w:t xml:space="preserve"> </w:t>
      </w:r>
    </w:p>
    <w:p w:rsidR="001F740D" w:rsidRPr="003A0F2E" w:rsidRDefault="001F740D" w:rsidP="001F740D">
      <w:pPr>
        <w:pStyle w:val="ListParagraph"/>
        <w:numPr>
          <w:ilvl w:val="1"/>
          <w:numId w:val="14"/>
        </w:numPr>
        <w:rPr>
          <w:rFonts w:ascii="Arial" w:hAnsi="Arial" w:cs="Arial"/>
        </w:rPr>
      </w:pPr>
      <w:r w:rsidRPr="003A0F2E">
        <w:rPr>
          <w:rFonts w:ascii="Arial" w:hAnsi="Arial" w:cs="Arial"/>
        </w:rPr>
        <w:t xml:space="preserve">to </w:t>
      </w:r>
      <w:r w:rsidR="00AC31BB" w:rsidRPr="003A0F2E">
        <w:rPr>
          <w:rFonts w:ascii="Arial" w:hAnsi="Arial" w:cs="Arial"/>
        </w:rPr>
        <w:t xml:space="preserve">undertake a QI audit if shared care </w:t>
      </w:r>
      <w:r w:rsidRPr="003A0F2E">
        <w:rPr>
          <w:rFonts w:ascii="Arial" w:hAnsi="Arial" w:cs="Arial"/>
        </w:rPr>
        <w:t xml:space="preserve">requests </w:t>
      </w:r>
      <w:r w:rsidR="00170EAA" w:rsidRPr="003A0F2E">
        <w:rPr>
          <w:rFonts w:ascii="Arial" w:hAnsi="Arial" w:cs="Arial"/>
        </w:rPr>
        <w:t>for</w:t>
      </w:r>
      <w:r w:rsidRPr="003A0F2E">
        <w:rPr>
          <w:rFonts w:ascii="Arial" w:hAnsi="Arial" w:cs="Arial"/>
        </w:rPr>
        <w:t xml:space="preserve"> ‘</w:t>
      </w:r>
      <w:r w:rsidRPr="003A0F2E">
        <w:rPr>
          <w:rFonts w:ascii="Arial" w:hAnsi="Arial" w:cs="Arial"/>
          <w:i/>
          <w:iCs/>
        </w:rPr>
        <w:t>shared care arrangements in place’</w:t>
      </w:r>
      <w:r w:rsidRPr="003A0F2E">
        <w:rPr>
          <w:rFonts w:ascii="Arial" w:hAnsi="Arial" w:cs="Arial"/>
        </w:rPr>
        <w:t xml:space="preserve"> </w:t>
      </w:r>
      <w:r w:rsidR="00170EAA" w:rsidRPr="003A0F2E">
        <w:rPr>
          <w:rFonts w:ascii="Arial" w:hAnsi="Arial" w:cs="Arial"/>
        </w:rPr>
        <w:t>medicines</w:t>
      </w:r>
      <w:r w:rsidRPr="003A0F2E">
        <w:rPr>
          <w:rFonts w:ascii="Arial" w:hAnsi="Arial" w:cs="Arial"/>
        </w:rPr>
        <w:t xml:space="preserve"> (see appendix 1) </w:t>
      </w:r>
      <w:r w:rsidR="00AC31BB" w:rsidRPr="003A0F2E">
        <w:rPr>
          <w:rFonts w:ascii="Arial" w:hAnsi="Arial" w:cs="Arial"/>
        </w:rPr>
        <w:t>are declined and meet the threshold</w:t>
      </w:r>
      <w:r w:rsidR="00170EAA" w:rsidRPr="003A0F2E">
        <w:rPr>
          <w:rFonts w:ascii="Arial" w:hAnsi="Arial" w:cs="Arial"/>
        </w:rPr>
        <w:t>.</w:t>
      </w:r>
    </w:p>
    <w:p w:rsidR="00B37696" w:rsidRPr="003A0F2E" w:rsidRDefault="00B37696" w:rsidP="00B37696">
      <w:pPr>
        <w:pStyle w:val="ListParagraph"/>
        <w:numPr>
          <w:ilvl w:val="1"/>
          <w:numId w:val="14"/>
        </w:numPr>
        <w:rPr>
          <w:rFonts w:ascii="Arial" w:hAnsi="Arial" w:cs="Arial"/>
        </w:rPr>
      </w:pPr>
      <w:r w:rsidRPr="003A0F2E">
        <w:rPr>
          <w:rFonts w:ascii="Arial" w:hAnsi="Arial" w:cs="Arial"/>
        </w:rPr>
        <w:t xml:space="preserve">Attendance </w:t>
      </w:r>
      <w:r w:rsidR="004211EF" w:rsidRPr="003A0F2E">
        <w:rPr>
          <w:rFonts w:ascii="Arial" w:hAnsi="Arial" w:cs="Arial"/>
        </w:rPr>
        <w:t xml:space="preserve">at </w:t>
      </w:r>
      <w:r w:rsidR="00170EAA" w:rsidRPr="003A0F2E">
        <w:rPr>
          <w:rFonts w:ascii="Arial" w:hAnsi="Arial" w:cs="Arial"/>
        </w:rPr>
        <w:t xml:space="preserve">an </w:t>
      </w:r>
      <w:r w:rsidR="003A0F2E">
        <w:rPr>
          <w:rFonts w:ascii="Arial" w:hAnsi="Arial" w:cs="Arial"/>
        </w:rPr>
        <w:t xml:space="preserve">online </w:t>
      </w:r>
      <w:r w:rsidR="004211EF" w:rsidRPr="003A0F2E">
        <w:rPr>
          <w:rFonts w:ascii="Arial" w:hAnsi="Arial" w:cs="Arial"/>
        </w:rPr>
        <w:t>engagement event</w:t>
      </w:r>
      <w:r w:rsidR="003A0F2E">
        <w:rPr>
          <w:rFonts w:ascii="Arial" w:hAnsi="Arial" w:cs="Arial"/>
        </w:rPr>
        <w:t xml:space="preserve"> in Q3</w:t>
      </w:r>
      <w:r w:rsidRPr="003A0F2E">
        <w:rPr>
          <w:rFonts w:ascii="Arial" w:hAnsi="Arial" w:cs="Arial"/>
        </w:rPr>
        <w:t xml:space="preserve"> hosted by NHS GM’s SCOM programme</w:t>
      </w:r>
      <w:r w:rsidR="00813490">
        <w:rPr>
          <w:rFonts w:ascii="Arial" w:hAnsi="Arial" w:cs="Arial"/>
        </w:rPr>
        <w:t>.</w:t>
      </w:r>
      <w:r w:rsidRPr="003A0F2E">
        <w:rPr>
          <w:rFonts w:ascii="Arial" w:hAnsi="Arial" w:cs="Arial"/>
        </w:rPr>
        <w:t xml:space="preserve"> </w:t>
      </w:r>
    </w:p>
    <w:p w:rsidR="00B37696" w:rsidRPr="003A0F2E" w:rsidRDefault="00B37696" w:rsidP="00B37696">
      <w:pPr>
        <w:pStyle w:val="ListParagraph"/>
        <w:numPr>
          <w:ilvl w:val="1"/>
          <w:numId w:val="14"/>
        </w:numPr>
        <w:rPr>
          <w:rFonts w:ascii="Arial" w:hAnsi="Arial" w:cs="Arial"/>
        </w:rPr>
      </w:pPr>
      <w:r w:rsidRPr="003A0F2E">
        <w:rPr>
          <w:rFonts w:ascii="Arial" w:hAnsi="Arial" w:cs="Arial"/>
        </w:rPr>
        <w:t xml:space="preserve">Submission of 2 </w:t>
      </w:r>
      <w:r w:rsidR="004211EF" w:rsidRPr="003A0F2E">
        <w:rPr>
          <w:rFonts w:ascii="Arial" w:hAnsi="Arial" w:cs="Arial"/>
        </w:rPr>
        <w:t xml:space="preserve">short </w:t>
      </w:r>
      <w:r w:rsidRPr="003A0F2E">
        <w:rPr>
          <w:rFonts w:ascii="Arial" w:hAnsi="Arial" w:cs="Arial"/>
        </w:rPr>
        <w:t>surveys in Q1 and Q</w:t>
      </w:r>
      <w:r w:rsidR="00170EAA" w:rsidRPr="003A0F2E">
        <w:rPr>
          <w:rFonts w:ascii="Arial" w:hAnsi="Arial" w:cs="Arial"/>
        </w:rPr>
        <w:t>4</w:t>
      </w:r>
      <w:r w:rsidRPr="003A0F2E">
        <w:rPr>
          <w:rFonts w:ascii="Arial" w:hAnsi="Arial" w:cs="Arial"/>
        </w:rPr>
        <w:t xml:space="preserve"> </w:t>
      </w:r>
    </w:p>
    <w:p w:rsidR="00B37696" w:rsidRPr="003A0F2E" w:rsidRDefault="00B37696" w:rsidP="00B37696">
      <w:pPr>
        <w:pStyle w:val="ListParagraph"/>
        <w:numPr>
          <w:ilvl w:val="1"/>
          <w:numId w:val="14"/>
        </w:numPr>
        <w:rPr>
          <w:rFonts w:ascii="Arial" w:hAnsi="Arial" w:cs="Arial"/>
        </w:rPr>
      </w:pPr>
      <w:r w:rsidRPr="003A0F2E">
        <w:rPr>
          <w:rFonts w:ascii="Arial" w:hAnsi="Arial" w:cs="Arial"/>
        </w:rPr>
        <w:t xml:space="preserve">All shared care medicines </w:t>
      </w:r>
      <w:r w:rsidR="00170EAA" w:rsidRPr="003A0F2E">
        <w:rPr>
          <w:rFonts w:ascii="Arial" w:hAnsi="Arial" w:cs="Arial"/>
        </w:rPr>
        <w:t>are</w:t>
      </w:r>
      <w:r w:rsidRPr="003A0F2E">
        <w:rPr>
          <w:rFonts w:ascii="Arial" w:hAnsi="Arial" w:cs="Arial"/>
        </w:rPr>
        <w:t xml:space="preserve"> coded with </w:t>
      </w:r>
      <w:r w:rsidR="00703521" w:rsidRPr="003A0F2E">
        <w:rPr>
          <w:rFonts w:ascii="Arial" w:hAnsi="Arial" w:cs="Arial"/>
        </w:rPr>
        <w:t>‘</w:t>
      </w:r>
      <w:r w:rsidRPr="003A0F2E">
        <w:rPr>
          <w:rFonts w:ascii="Arial" w:hAnsi="Arial" w:cs="Arial"/>
        </w:rPr>
        <w:t>accepted’</w:t>
      </w:r>
      <w:r w:rsidR="001B2F21">
        <w:rPr>
          <w:rFonts w:ascii="Arial" w:hAnsi="Arial" w:cs="Arial"/>
        </w:rPr>
        <w:t xml:space="preserve">, ‘accepted </w:t>
      </w:r>
      <w:r w:rsidR="00F0753B">
        <w:rPr>
          <w:rFonts w:ascii="Arial" w:hAnsi="Arial" w:cs="Arial"/>
        </w:rPr>
        <w:t xml:space="preserve">although </w:t>
      </w:r>
      <w:r w:rsidR="001B2F21">
        <w:rPr>
          <w:rFonts w:ascii="Arial" w:hAnsi="Arial" w:cs="Arial"/>
        </w:rPr>
        <w:t xml:space="preserve">concerns remain’, </w:t>
      </w:r>
      <w:r w:rsidRPr="003A0F2E">
        <w:rPr>
          <w:rFonts w:ascii="Arial" w:hAnsi="Arial" w:cs="Arial"/>
        </w:rPr>
        <w:t>‘declined’</w:t>
      </w:r>
      <w:r w:rsidR="00937F3B">
        <w:rPr>
          <w:rFonts w:ascii="Arial" w:hAnsi="Arial" w:cs="Arial"/>
        </w:rPr>
        <w:t>, ‘ended’</w:t>
      </w:r>
      <w:r w:rsidR="001A5517">
        <w:rPr>
          <w:rFonts w:ascii="Arial" w:hAnsi="Arial" w:cs="Arial"/>
        </w:rPr>
        <w:t xml:space="preserve">. </w:t>
      </w:r>
    </w:p>
    <w:p w:rsidR="001C11C2" w:rsidRPr="003A0F2E" w:rsidRDefault="001C11C2" w:rsidP="001C11C2">
      <w:pPr>
        <w:rPr>
          <w:rFonts w:ascii="Arial" w:hAnsi="Arial" w:cs="Arial"/>
          <w:b/>
          <w:bCs/>
          <w:u w:val="single"/>
        </w:rPr>
      </w:pPr>
    </w:p>
    <w:p w:rsidR="00B37696" w:rsidRPr="003A0F2E" w:rsidRDefault="001C11C2" w:rsidP="001C11C2">
      <w:pPr>
        <w:rPr>
          <w:rFonts w:ascii="Arial" w:hAnsi="Arial" w:cs="Arial"/>
          <w:b/>
          <w:bCs/>
          <w:u w:val="single"/>
        </w:rPr>
      </w:pPr>
      <w:r w:rsidRPr="003A0F2E">
        <w:rPr>
          <w:rFonts w:ascii="Arial" w:hAnsi="Arial" w:cs="Arial"/>
          <w:b/>
          <w:bCs/>
          <w:u w:val="single"/>
        </w:rPr>
        <w:t>Data monitoring and evaluation</w:t>
      </w:r>
    </w:p>
    <w:p w:rsidR="001F740D" w:rsidRPr="003A0F2E" w:rsidRDefault="001F740D" w:rsidP="001F740D">
      <w:pPr>
        <w:rPr>
          <w:rFonts w:ascii="Arial" w:hAnsi="Arial" w:cs="Arial"/>
          <w:b/>
          <w:bCs/>
          <w:u w:val="single"/>
        </w:rPr>
      </w:pPr>
    </w:p>
    <w:p w:rsidR="008F6A37" w:rsidRPr="003A0F2E" w:rsidRDefault="001C11C2" w:rsidP="005E0A14">
      <w:pPr>
        <w:rPr>
          <w:rFonts w:ascii="Arial" w:hAnsi="Arial" w:cs="Arial"/>
          <w:b/>
          <w:bCs/>
        </w:rPr>
      </w:pPr>
      <w:r w:rsidRPr="003A0F2E">
        <w:rPr>
          <w:rFonts w:ascii="Arial" w:hAnsi="Arial" w:cs="Arial"/>
          <w:b/>
          <w:bCs/>
        </w:rPr>
        <w:t xml:space="preserve">Data monitoring: </w:t>
      </w:r>
    </w:p>
    <w:p w:rsidR="001C11C2" w:rsidRPr="003A0F2E" w:rsidRDefault="001C11C2">
      <w:pPr>
        <w:pStyle w:val="ListParagraph"/>
        <w:numPr>
          <w:ilvl w:val="0"/>
          <w:numId w:val="7"/>
        </w:numPr>
        <w:rPr>
          <w:rFonts w:ascii="Arial" w:hAnsi="Arial" w:cs="Arial"/>
          <w:b/>
          <w:bCs/>
          <w:u w:val="single"/>
        </w:rPr>
      </w:pPr>
      <w:r w:rsidRPr="003A0F2E">
        <w:rPr>
          <w:rFonts w:ascii="Arial" w:hAnsi="Arial" w:cs="Arial"/>
        </w:rPr>
        <w:t>shared care medicines coded with either accepted</w:t>
      </w:r>
      <w:r w:rsidR="003A0F2E">
        <w:rPr>
          <w:rFonts w:ascii="Arial" w:hAnsi="Arial" w:cs="Arial"/>
        </w:rPr>
        <w:t xml:space="preserve">, accepted </w:t>
      </w:r>
      <w:r w:rsidR="001A5517">
        <w:rPr>
          <w:rFonts w:ascii="Arial" w:hAnsi="Arial" w:cs="Arial"/>
        </w:rPr>
        <w:t>although</w:t>
      </w:r>
      <w:r w:rsidR="003A0F2E">
        <w:rPr>
          <w:rFonts w:ascii="Arial" w:hAnsi="Arial" w:cs="Arial"/>
        </w:rPr>
        <w:t xml:space="preserve"> concerns remain</w:t>
      </w:r>
      <w:r w:rsidR="001A5517">
        <w:rPr>
          <w:rFonts w:ascii="Arial" w:hAnsi="Arial" w:cs="Arial"/>
        </w:rPr>
        <w:t>,</w:t>
      </w:r>
      <w:r w:rsidRPr="003A0F2E">
        <w:rPr>
          <w:rFonts w:ascii="Arial" w:hAnsi="Arial" w:cs="Arial"/>
        </w:rPr>
        <w:t xml:space="preserve"> declined </w:t>
      </w:r>
      <w:r w:rsidR="001A5517">
        <w:rPr>
          <w:rFonts w:ascii="Arial" w:hAnsi="Arial" w:cs="Arial"/>
        </w:rPr>
        <w:t xml:space="preserve">or ended </w:t>
      </w:r>
      <w:r w:rsidRPr="003A0F2E">
        <w:rPr>
          <w:rFonts w:ascii="Arial" w:hAnsi="Arial" w:cs="Arial"/>
        </w:rPr>
        <w:t>Q1 and Q4</w:t>
      </w:r>
      <w:r w:rsidR="00813490">
        <w:rPr>
          <w:rFonts w:ascii="Arial" w:hAnsi="Arial" w:cs="Arial"/>
        </w:rPr>
        <w:t>.</w:t>
      </w:r>
    </w:p>
    <w:p w:rsidR="001C11C2" w:rsidRPr="003A0F2E" w:rsidRDefault="001B2F21" w:rsidP="001C11C2">
      <w:pPr>
        <w:pStyle w:val="ListParagraph"/>
        <w:numPr>
          <w:ilvl w:val="0"/>
          <w:numId w:val="7"/>
        </w:numPr>
        <w:rPr>
          <w:rFonts w:ascii="Arial" w:hAnsi="Arial" w:cs="Arial"/>
        </w:rPr>
      </w:pPr>
      <w:r>
        <w:rPr>
          <w:rFonts w:ascii="Arial" w:hAnsi="Arial" w:cs="Arial"/>
        </w:rPr>
        <w:t xml:space="preserve">Shared care improvement </w:t>
      </w:r>
      <w:r w:rsidR="003D69DC">
        <w:rPr>
          <w:rFonts w:ascii="Arial" w:hAnsi="Arial" w:cs="Arial"/>
        </w:rPr>
        <w:t>data</w:t>
      </w:r>
      <w:r w:rsidR="001C11C2" w:rsidRPr="003A0F2E">
        <w:rPr>
          <w:rFonts w:ascii="Arial" w:hAnsi="Arial" w:cs="Arial"/>
        </w:rPr>
        <w:t xml:space="preserve"> throughout the year</w:t>
      </w:r>
      <w:r w:rsidR="00813490">
        <w:rPr>
          <w:rFonts w:ascii="Arial" w:hAnsi="Arial" w:cs="Arial"/>
        </w:rPr>
        <w:t>.</w:t>
      </w:r>
      <w:r w:rsidR="001C11C2" w:rsidRPr="003A0F2E">
        <w:rPr>
          <w:rFonts w:ascii="Arial" w:hAnsi="Arial" w:cs="Arial"/>
        </w:rPr>
        <w:t xml:space="preserve"> </w:t>
      </w:r>
    </w:p>
    <w:p w:rsidR="001C11C2" w:rsidRPr="003A0F2E" w:rsidRDefault="001C11C2" w:rsidP="001C11C2">
      <w:pPr>
        <w:pStyle w:val="ListParagraph"/>
        <w:numPr>
          <w:ilvl w:val="0"/>
          <w:numId w:val="7"/>
        </w:numPr>
        <w:rPr>
          <w:rFonts w:ascii="Arial" w:hAnsi="Arial" w:cs="Arial"/>
        </w:rPr>
      </w:pPr>
      <w:r w:rsidRPr="003A0F2E">
        <w:rPr>
          <w:rFonts w:ascii="Arial" w:hAnsi="Arial" w:cs="Arial"/>
        </w:rPr>
        <w:t xml:space="preserve">QI audit undertaken for declined requests </w:t>
      </w:r>
      <w:r w:rsidR="00170EAA" w:rsidRPr="003A0F2E">
        <w:rPr>
          <w:rFonts w:ascii="Arial" w:hAnsi="Arial" w:cs="Arial"/>
        </w:rPr>
        <w:t>that meet the agreed threshold</w:t>
      </w:r>
      <w:r w:rsidR="00813490">
        <w:rPr>
          <w:rFonts w:ascii="Arial" w:hAnsi="Arial" w:cs="Arial"/>
        </w:rPr>
        <w:t>.</w:t>
      </w:r>
      <w:r w:rsidRPr="003A0F2E">
        <w:rPr>
          <w:rFonts w:ascii="Arial" w:hAnsi="Arial" w:cs="Arial"/>
        </w:rPr>
        <w:t xml:space="preserve"> </w:t>
      </w:r>
    </w:p>
    <w:p w:rsidR="001C11C2" w:rsidRPr="003A0F2E" w:rsidRDefault="001C11C2" w:rsidP="001C11C2">
      <w:pPr>
        <w:pStyle w:val="ListParagraph"/>
        <w:numPr>
          <w:ilvl w:val="0"/>
          <w:numId w:val="7"/>
        </w:numPr>
        <w:rPr>
          <w:rFonts w:ascii="Arial" w:hAnsi="Arial" w:cs="Arial"/>
        </w:rPr>
      </w:pPr>
      <w:r w:rsidRPr="003A0F2E">
        <w:rPr>
          <w:rFonts w:ascii="Arial" w:hAnsi="Arial" w:cs="Arial"/>
        </w:rPr>
        <w:t>Survey submissions in Q1 and Q4</w:t>
      </w:r>
      <w:r w:rsidR="00813490">
        <w:rPr>
          <w:rFonts w:ascii="Arial" w:hAnsi="Arial" w:cs="Arial"/>
        </w:rPr>
        <w:t>.</w:t>
      </w:r>
    </w:p>
    <w:p w:rsidR="00F847CD" w:rsidRPr="003A0F2E" w:rsidRDefault="00F847CD" w:rsidP="005E0A14">
      <w:pPr>
        <w:rPr>
          <w:rFonts w:ascii="Arial" w:hAnsi="Arial" w:cs="Arial"/>
          <w:b/>
          <w:bCs/>
          <w:u w:val="single"/>
        </w:rPr>
      </w:pPr>
    </w:p>
    <w:p w:rsidR="005F3A5E" w:rsidRPr="003A0F2E" w:rsidRDefault="005F3A5E" w:rsidP="005E0A14">
      <w:pPr>
        <w:rPr>
          <w:rFonts w:ascii="Arial" w:hAnsi="Arial" w:cs="Arial"/>
          <w:b/>
          <w:bCs/>
          <w:u w:val="single"/>
        </w:rPr>
      </w:pPr>
    </w:p>
    <w:p w:rsidR="005F3A5E" w:rsidRPr="003A0F2E" w:rsidRDefault="005F3A5E" w:rsidP="005E0A14">
      <w:pPr>
        <w:rPr>
          <w:rFonts w:ascii="Arial" w:hAnsi="Arial" w:cs="Arial"/>
          <w:b/>
          <w:bCs/>
          <w:u w:val="single"/>
        </w:rPr>
      </w:pPr>
    </w:p>
    <w:p w:rsidR="005F3A5E" w:rsidRPr="003A0F2E" w:rsidRDefault="005F3A5E" w:rsidP="005E0A14">
      <w:pPr>
        <w:rPr>
          <w:rFonts w:ascii="Arial" w:hAnsi="Arial" w:cs="Arial"/>
          <w:b/>
          <w:bCs/>
          <w:u w:val="single"/>
        </w:rPr>
      </w:pPr>
    </w:p>
    <w:p w:rsidR="005F3A5E" w:rsidRPr="003A0F2E" w:rsidRDefault="005F3A5E" w:rsidP="005E0A14">
      <w:pPr>
        <w:rPr>
          <w:rFonts w:ascii="Arial" w:hAnsi="Arial" w:cs="Arial"/>
          <w:b/>
          <w:bCs/>
          <w:u w:val="single"/>
        </w:rPr>
      </w:pPr>
    </w:p>
    <w:p w:rsidR="005F3A5E" w:rsidRPr="003A0F2E" w:rsidRDefault="005F3A5E" w:rsidP="005E0A14">
      <w:pPr>
        <w:rPr>
          <w:rFonts w:ascii="Arial" w:hAnsi="Arial" w:cs="Arial"/>
          <w:b/>
          <w:bCs/>
          <w:u w:val="single"/>
        </w:rPr>
      </w:pPr>
    </w:p>
    <w:p w:rsidR="00BE28B0" w:rsidRPr="003A0F2E" w:rsidRDefault="00BE28B0" w:rsidP="005E0A14">
      <w:pPr>
        <w:rPr>
          <w:rFonts w:ascii="Arial" w:hAnsi="Arial" w:cs="Arial"/>
          <w:b/>
          <w:bCs/>
          <w:u w:val="single"/>
        </w:rPr>
      </w:pPr>
    </w:p>
    <w:p w:rsidR="00D94AC5" w:rsidRPr="003A0F2E" w:rsidRDefault="00D94AC5" w:rsidP="005E0A14">
      <w:pPr>
        <w:rPr>
          <w:rFonts w:ascii="Arial" w:hAnsi="Arial" w:cs="Arial"/>
          <w:b/>
          <w:bCs/>
          <w:u w:val="single"/>
        </w:rPr>
      </w:pPr>
    </w:p>
    <w:p w:rsidR="00D94AC5" w:rsidRPr="003A0F2E" w:rsidRDefault="00D94AC5" w:rsidP="005E0A14">
      <w:pPr>
        <w:rPr>
          <w:rFonts w:ascii="Arial" w:hAnsi="Arial" w:cs="Arial"/>
          <w:b/>
          <w:bCs/>
          <w:u w:val="single"/>
        </w:rPr>
      </w:pPr>
    </w:p>
    <w:p w:rsidR="00D94AC5" w:rsidRDefault="00D94AC5" w:rsidP="005E0A14">
      <w:pPr>
        <w:rPr>
          <w:rFonts w:ascii="Arial" w:hAnsi="Arial" w:cs="Arial"/>
          <w:b/>
          <w:bCs/>
          <w:u w:val="single"/>
        </w:rPr>
      </w:pPr>
    </w:p>
    <w:p w:rsidR="003D69DC" w:rsidRDefault="003D69DC" w:rsidP="005E0A14">
      <w:pPr>
        <w:rPr>
          <w:rFonts w:ascii="Arial" w:hAnsi="Arial" w:cs="Arial"/>
          <w:b/>
          <w:bCs/>
          <w:u w:val="single"/>
        </w:rPr>
      </w:pPr>
    </w:p>
    <w:p w:rsidR="003D69DC" w:rsidRDefault="003D69DC" w:rsidP="005E0A14">
      <w:pPr>
        <w:rPr>
          <w:rFonts w:ascii="Arial" w:hAnsi="Arial" w:cs="Arial"/>
          <w:b/>
          <w:bCs/>
          <w:u w:val="single"/>
        </w:rPr>
      </w:pPr>
    </w:p>
    <w:p w:rsidR="003D69DC" w:rsidRDefault="003D69DC" w:rsidP="005E0A14">
      <w:pPr>
        <w:rPr>
          <w:rFonts w:ascii="Arial" w:hAnsi="Arial" w:cs="Arial"/>
          <w:b/>
          <w:bCs/>
          <w:u w:val="single"/>
        </w:rPr>
      </w:pPr>
    </w:p>
    <w:p w:rsidR="003D69DC" w:rsidRDefault="003D69DC" w:rsidP="005E0A14">
      <w:pPr>
        <w:rPr>
          <w:rFonts w:ascii="Arial" w:hAnsi="Arial" w:cs="Arial"/>
          <w:b/>
          <w:bCs/>
          <w:u w:val="single"/>
        </w:rPr>
      </w:pPr>
    </w:p>
    <w:p w:rsidR="003D69DC" w:rsidRDefault="003D69DC" w:rsidP="005E0A14">
      <w:pPr>
        <w:rPr>
          <w:rFonts w:ascii="Arial" w:hAnsi="Arial" w:cs="Arial"/>
          <w:b/>
          <w:bCs/>
          <w:u w:val="single"/>
        </w:rPr>
      </w:pPr>
    </w:p>
    <w:p w:rsidR="003D69DC" w:rsidRDefault="003D69DC" w:rsidP="005E0A14">
      <w:pPr>
        <w:rPr>
          <w:rFonts w:ascii="Arial" w:hAnsi="Arial" w:cs="Arial"/>
          <w:b/>
          <w:bCs/>
          <w:u w:val="single"/>
        </w:rPr>
      </w:pPr>
    </w:p>
    <w:p w:rsidR="00B636F0" w:rsidRPr="003A0F2E" w:rsidRDefault="00B636F0" w:rsidP="005E0A14">
      <w:pPr>
        <w:rPr>
          <w:rFonts w:ascii="Arial" w:hAnsi="Arial" w:cs="Arial"/>
          <w:u w:val="single"/>
        </w:rPr>
      </w:pPr>
    </w:p>
    <w:p w:rsidR="00F847CD" w:rsidRPr="003A0F2E" w:rsidRDefault="00F847CD" w:rsidP="003D69DC">
      <w:pPr>
        <w:jc w:val="center"/>
        <w:rPr>
          <w:rFonts w:ascii="Arial" w:hAnsi="Arial" w:cs="Arial"/>
          <w:b/>
          <w:bCs/>
          <w:u w:val="single"/>
        </w:rPr>
      </w:pPr>
      <w:r w:rsidRPr="003A0F2E">
        <w:rPr>
          <w:rFonts w:ascii="Arial" w:hAnsi="Arial" w:cs="Arial"/>
          <w:b/>
          <w:bCs/>
          <w:u w:val="single"/>
        </w:rPr>
        <w:t>Appendix 1</w:t>
      </w:r>
      <w:r w:rsidR="00DE38AA" w:rsidRPr="003A0F2E">
        <w:rPr>
          <w:rFonts w:ascii="Arial" w:hAnsi="Arial" w:cs="Arial"/>
          <w:b/>
          <w:bCs/>
          <w:u w:val="single"/>
        </w:rPr>
        <w:t>:</w:t>
      </w:r>
    </w:p>
    <w:p w:rsidR="00F847CD" w:rsidRDefault="001B2F21" w:rsidP="005E0A14">
      <w:pPr>
        <w:rPr>
          <w:rFonts w:ascii="Arial" w:hAnsi="Arial" w:cs="Arial"/>
        </w:rPr>
      </w:pPr>
      <w:r>
        <w:rPr>
          <w:rFonts w:ascii="Arial" w:hAnsi="Arial" w:cs="Arial"/>
        </w:rPr>
        <w:t>Shared care</w:t>
      </w:r>
      <w:r w:rsidR="00B636F0">
        <w:rPr>
          <w:rFonts w:ascii="Arial" w:hAnsi="Arial" w:cs="Arial"/>
        </w:rPr>
        <w:t xml:space="preserve"> arrangements </w:t>
      </w:r>
      <w:r>
        <w:rPr>
          <w:rFonts w:ascii="Arial" w:hAnsi="Arial" w:cs="Arial"/>
        </w:rPr>
        <w:t>are specific to a clinical condition and therefore GP practices will need to go to the GMMMG website to understand which condition aligns to the medicine</w:t>
      </w:r>
      <w:r w:rsidR="00B636F0">
        <w:rPr>
          <w:rFonts w:ascii="Arial" w:hAnsi="Arial" w:cs="Arial"/>
        </w:rPr>
        <w:t>s</w:t>
      </w:r>
      <w:r>
        <w:rPr>
          <w:rFonts w:ascii="Arial" w:hAnsi="Arial" w:cs="Arial"/>
        </w:rPr>
        <w:t xml:space="preserve"> below. Please find the link to the shared care protocols: </w:t>
      </w:r>
    </w:p>
    <w:p w:rsidR="001B2F21" w:rsidRPr="003A0F2E" w:rsidRDefault="001B2F21" w:rsidP="005E0A14">
      <w:pPr>
        <w:rPr>
          <w:rFonts w:ascii="Arial" w:hAnsi="Arial" w:cs="Arial"/>
        </w:rPr>
      </w:pPr>
      <w:hyperlink r:id="rId16" w:history="1">
        <w:r w:rsidRPr="001B2F21">
          <w:rPr>
            <w:rStyle w:val="Hyperlink"/>
            <w:rFonts w:ascii="Arial" w:hAnsi="Arial" w:cs="Arial"/>
          </w:rPr>
          <w:t>Approved Shared Care Protocols - GMMMG</w:t>
        </w:r>
      </w:hyperlink>
    </w:p>
    <w:p w:rsidR="00001545" w:rsidRPr="003A0F2E" w:rsidRDefault="00001545" w:rsidP="005E0A14">
      <w:pPr>
        <w:rPr>
          <w:rFonts w:ascii="Arial" w:hAnsi="Arial" w:cs="Arial"/>
        </w:rPr>
      </w:pPr>
    </w:p>
    <w:p w:rsidR="00001545" w:rsidRPr="003A0F2E" w:rsidRDefault="00001545" w:rsidP="005E0A14">
      <w:pPr>
        <w:rPr>
          <w:rFonts w:ascii="Arial" w:hAnsi="Arial" w:cs="Arial"/>
        </w:rPr>
      </w:pPr>
      <w:r w:rsidRPr="003A0F2E">
        <w:rPr>
          <w:rFonts w:ascii="Arial" w:hAnsi="Arial" w:cs="Arial"/>
          <w:b/>
          <w:bCs/>
        </w:rPr>
        <w:t>Shared care medicines under review:</w:t>
      </w:r>
      <w:r w:rsidRPr="003A0F2E">
        <w:rPr>
          <w:rFonts w:ascii="Arial" w:hAnsi="Arial" w:cs="Arial"/>
        </w:rPr>
        <w:t xml:space="preserve"> </w:t>
      </w:r>
      <w:r w:rsidR="000B4744" w:rsidRPr="003A0F2E">
        <w:rPr>
          <w:rFonts w:ascii="Arial" w:hAnsi="Arial" w:cs="Arial"/>
        </w:rPr>
        <w:t xml:space="preserve">a list of </w:t>
      </w:r>
      <w:r w:rsidRPr="003A0F2E">
        <w:rPr>
          <w:rFonts w:ascii="Arial" w:hAnsi="Arial" w:cs="Arial"/>
        </w:rPr>
        <w:t>medicines that are on GMMMG</w:t>
      </w:r>
      <w:r w:rsidR="00745783" w:rsidRPr="003A0F2E">
        <w:rPr>
          <w:rFonts w:ascii="Arial" w:hAnsi="Arial" w:cs="Arial"/>
        </w:rPr>
        <w:t xml:space="preserve"> and rated ‘AMBER’ (appropriate for shared care)</w:t>
      </w:r>
      <w:r w:rsidRPr="003A0F2E">
        <w:rPr>
          <w:rFonts w:ascii="Arial" w:hAnsi="Arial" w:cs="Arial"/>
        </w:rPr>
        <w:t xml:space="preserve"> and were identified by the SCOM programme as requiring further work to improve pathways across the interface. </w:t>
      </w:r>
    </w:p>
    <w:p w:rsidR="00001545" w:rsidRPr="003A0F2E" w:rsidRDefault="00001545" w:rsidP="005E0A14">
      <w:pPr>
        <w:rPr>
          <w:rFonts w:ascii="Arial" w:hAnsi="Arial" w:cs="Arial"/>
        </w:rPr>
      </w:pPr>
    </w:p>
    <w:p w:rsidR="00001545" w:rsidRDefault="00001545" w:rsidP="005E0A14">
      <w:pPr>
        <w:rPr>
          <w:rFonts w:ascii="Arial" w:hAnsi="Arial" w:cs="Arial"/>
        </w:rPr>
      </w:pPr>
      <w:r w:rsidRPr="003A0F2E">
        <w:rPr>
          <w:rFonts w:ascii="Arial" w:hAnsi="Arial" w:cs="Arial"/>
          <w:b/>
          <w:bCs/>
        </w:rPr>
        <w:t>Shared care arrangements in place:</w:t>
      </w:r>
      <w:r w:rsidRPr="003A0F2E">
        <w:rPr>
          <w:rFonts w:ascii="Arial" w:hAnsi="Arial" w:cs="Arial"/>
        </w:rPr>
        <w:t xml:space="preserve"> </w:t>
      </w:r>
      <w:r w:rsidR="000B4744" w:rsidRPr="003A0F2E">
        <w:rPr>
          <w:rFonts w:ascii="Arial" w:hAnsi="Arial" w:cs="Arial"/>
        </w:rPr>
        <w:t xml:space="preserve">a list of </w:t>
      </w:r>
      <w:r w:rsidRPr="003A0F2E">
        <w:rPr>
          <w:rFonts w:ascii="Arial" w:hAnsi="Arial" w:cs="Arial"/>
        </w:rPr>
        <w:t xml:space="preserve">medicines that are listed on GMMMG as ‘AMBER’ </w:t>
      </w:r>
      <w:r w:rsidR="00745783" w:rsidRPr="003A0F2E">
        <w:rPr>
          <w:rFonts w:ascii="Arial" w:hAnsi="Arial" w:cs="Arial"/>
        </w:rPr>
        <w:t xml:space="preserve">and </w:t>
      </w:r>
      <w:r w:rsidR="00D94AC5" w:rsidRPr="003A0F2E">
        <w:rPr>
          <w:rFonts w:ascii="Arial" w:hAnsi="Arial" w:cs="Arial"/>
        </w:rPr>
        <w:t>are considered as</w:t>
      </w:r>
      <w:r w:rsidR="00745783" w:rsidRPr="003A0F2E">
        <w:rPr>
          <w:rFonts w:ascii="Arial" w:hAnsi="Arial" w:cs="Arial"/>
        </w:rPr>
        <w:t xml:space="preserve"> having safe and effective pathways</w:t>
      </w:r>
      <w:r w:rsidR="000B4744" w:rsidRPr="003A0F2E">
        <w:rPr>
          <w:rFonts w:ascii="Arial" w:hAnsi="Arial" w:cs="Arial"/>
        </w:rPr>
        <w:t xml:space="preserve"> in place</w:t>
      </w:r>
      <w:r w:rsidR="00745783" w:rsidRPr="003A0F2E">
        <w:rPr>
          <w:rFonts w:ascii="Arial" w:hAnsi="Arial" w:cs="Arial"/>
        </w:rPr>
        <w:t xml:space="preserve">. </w:t>
      </w:r>
    </w:p>
    <w:p w:rsidR="00B636F0" w:rsidRDefault="00B636F0" w:rsidP="005E0A14">
      <w:pPr>
        <w:rPr>
          <w:rFonts w:ascii="Arial" w:hAnsi="Arial" w:cs="Arial"/>
        </w:rPr>
      </w:pPr>
    </w:p>
    <w:p w:rsidR="00B636F0" w:rsidRPr="003A0F2E" w:rsidRDefault="00B636F0" w:rsidP="005E0A14">
      <w:pPr>
        <w:rPr>
          <w:rFonts w:ascii="Arial" w:hAnsi="Arial" w:cs="Arial"/>
        </w:rPr>
      </w:pPr>
      <w:r>
        <w:rPr>
          <w:rFonts w:ascii="Arial" w:hAnsi="Arial" w:cs="Arial"/>
        </w:rPr>
        <w:t xml:space="preserve">Please </w:t>
      </w:r>
      <w:r w:rsidR="009C48EE">
        <w:rPr>
          <w:rFonts w:ascii="Arial" w:hAnsi="Arial" w:cs="Arial"/>
        </w:rPr>
        <w:t xml:space="preserve">see </w:t>
      </w:r>
      <w:r>
        <w:rPr>
          <w:rFonts w:ascii="Arial" w:hAnsi="Arial" w:cs="Arial"/>
        </w:rPr>
        <w:t xml:space="preserve"> the </w:t>
      </w:r>
      <w:hyperlink r:id="rId17" w:history="1">
        <w:r w:rsidRPr="00B636F0">
          <w:rPr>
            <w:rStyle w:val="Hyperlink"/>
            <w:rFonts w:ascii="Arial" w:hAnsi="Arial" w:cs="Arial"/>
          </w:rPr>
          <w:t>GMMMG website</w:t>
        </w:r>
      </w:hyperlink>
      <w:r>
        <w:rPr>
          <w:rFonts w:ascii="Arial" w:hAnsi="Arial" w:cs="Arial"/>
        </w:rPr>
        <w:t xml:space="preserve"> to </w:t>
      </w:r>
      <w:r w:rsidR="009C48EE">
        <w:rPr>
          <w:rFonts w:ascii="Arial" w:hAnsi="Arial" w:cs="Arial"/>
        </w:rPr>
        <w:t>for the detail of the</w:t>
      </w:r>
      <w:r>
        <w:rPr>
          <w:rFonts w:ascii="Arial" w:hAnsi="Arial" w:cs="Arial"/>
        </w:rPr>
        <w:t xml:space="preserve"> medicine and the clinical condition that is associated with shared care arrangements:</w:t>
      </w:r>
    </w:p>
    <w:p w:rsidR="00001545" w:rsidRPr="003A0F2E" w:rsidRDefault="00001545" w:rsidP="005E0A14">
      <w:pPr>
        <w:rPr>
          <w:rFonts w:ascii="Arial" w:hAnsi="Arial" w:cs="Arial"/>
        </w:rPr>
      </w:pPr>
    </w:p>
    <w:tbl>
      <w:tblPr>
        <w:tblStyle w:val="TableGrid"/>
        <w:tblW w:w="9209" w:type="dxa"/>
        <w:tblLook w:val="04A0" w:firstRow="1" w:lastRow="0" w:firstColumn="1" w:lastColumn="0" w:noHBand="0" w:noVBand="1"/>
      </w:tblPr>
      <w:tblGrid>
        <w:gridCol w:w="4508"/>
        <w:gridCol w:w="4701"/>
      </w:tblGrid>
      <w:tr w:rsidR="00C17133" w:rsidRPr="00B76751" w:rsidTr="000868A9">
        <w:tc>
          <w:tcPr>
            <w:tcW w:w="4508" w:type="dxa"/>
            <w:shd w:val="clear" w:color="auto" w:fill="D9D9D9" w:themeFill="background1" w:themeFillShade="D9"/>
          </w:tcPr>
          <w:p w:rsidR="00C17133" w:rsidRPr="00B76751" w:rsidRDefault="00C17133" w:rsidP="000868A9">
            <w:pPr>
              <w:rPr>
                <w:rFonts w:ascii="Arial" w:hAnsi="Arial" w:cs="Arial"/>
                <w:b/>
                <w:bCs/>
              </w:rPr>
            </w:pPr>
            <w:r w:rsidRPr="00B76751">
              <w:rPr>
                <w:rFonts w:ascii="Arial" w:hAnsi="Arial" w:cs="Arial"/>
                <w:b/>
                <w:bCs/>
              </w:rPr>
              <w:t xml:space="preserve">Shared care arrangements under review </w:t>
            </w:r>
          </w:p>
        </w:tc>
        <w:tc>
          <w:tcPr>
            <w:tcW w:w="4701" w:type="dxa"/>
            <w:shd w:val="clear" w:color="auto" w:fill="D9D9D9" w:themeFill="background1" w:themeFillShade="D9"/>
          </w:tcPr>
          <w:p w:rsidR="00C17133" w:rsidRPr="00B76751" w:rsidRDefault="00C17133" w:rsidP="000868A9">
            <w:pPr>
              <w:rPr>
                <w:rFonts w:ascii="Arial" w:hAnsi="Arial" w:cs="Arial"/>
                <w:b/>
                <w:bCs/>
              </w:rPr>
            </w:pPr>
            <w:r w:rsidRPr="00B76751">
              <w:rPr>
                <w:rFonts w:ascii="Arial" w:hAnsi="Arial" w:cs="Arial"/>
                <w:b/>
                <w:bCs/>
              </w:rPr>
              <w:t xml:space="preserve">Shared care arrangements in place  </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 xml:space="preserve">Amisulpride (po) ( adult and paediatric patients) </w:t>
            </w:r>
          </w:p>
        </w:tc>
        <w:tc>
          <w:tcPr>
            <w:tcW w:w="4701" w:type="dxa"/>
          </w:tcPr>
          <w:p w:rsidR="00C17133" w:rsidRPr="00B76751" w:rsidRDefault="00C17133" w:rsidP="000868A9">
            <w:pPr>
              <w:rPr>
                <w:rFonts w:ascii="Arial" w:hAnsi="Arial" w:cs="Arial"/>
                <w:b/>
                <w:bCs/>
                <w:u w:val="single"/>
              </w:rPr>
            </w:pPr>
            <w:r w:rsidRPr="00B76751">
              <w:rPr>
                <w:rFonts w:ascii="Arial" w:hAnsi="Arial" w:cs="Arial"/>
                <w:color w:val="000000"/>
              </w:rPr>
              <w:t>Amiodarone hydrochloride (po)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Aripiprazole (depot injection) (adults)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Apomorphine hydrochloride</w:t>
            </w:r>
            <w:r>
              <w:rPr>
                <w:rFonts w:ascii="Arial" w:hAnsi="Arial" w:cs="Arial"/>
                <w:color w:val="000000"/>
              </w:rPr>
              <w:t xml:space="preserve"> </w:t>
            </w:r>
            <w:r w:rsidRPr="00B76751">
              <w:rPr>
                <w:rFonts w:ascii="Arial" w:hAnsi="Arial" w:cs="Arial"/>
                <w:color w:val="000000"/>
              </w:rPr>
              <w:t>(injection/infusion)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Aripiprazole (po) (adult and paediatric patients) </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Apomorph hydrochloride hemihydrate (injection/infusion)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Atomoxetine hydrochloride (po) (adult and paediatric patients) </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Azathioprine (po) (adult and paediatric patients) </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Dexamfetamine sulfate (p</w:t>
            </w:r>
            <w:r>
              <w:rPr>
                <w:rFonts w:ascii="Arial" w:hAnsi="Arial" w:cs="Arial"/>
                <w:color w:val="000000"/>
              </w:rPr>
              <w:t>o</w:t>
            </w:r>
            <w:r w:rsidRPr="00B76751">
              <w:rPr>
                <w:rFonts w:ascii="Arial" w:hAnsi="Arial" w:cs="Arial"/>
                <w:color w:val="000000"/>
              </w:rPr>
              <w:t xml:space="preserve">) (adult and paediatric patients) </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Ciclosporin (po) (adults)</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Flupentixol decanoate (depot injection) (adults)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Cinacalcet hydrochloride (po)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Guanfacine (po) (adult and paediatric patients)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Colistimethate sodium (nebule) (adults)</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 xml:space="preserve">Haloperidol decanoate (depot injection) (adults) </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Citalopram hydrobromide (po) (paediatric patients)</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 xml:space="preserve">Lisdexamfetamine (po) (adult and paediatric patients) </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 xml:space="preserve">Citalopram hydrochloride (po) (paediatric patients) </w:t>
            </w:r>
          </w:p>
        </w:tc>
      </w:tr>
      <w:tr w:rsidR="00C17133" w:rsidRPr="00B76751" w:rsidTr="000868A9">
        <w:tc>
          <w:tcPr>
            <w:tcW w:w="4508" w:type="dxa"/>
          </w:tcPr>
          <w:p w:rsidR="00C17133" w:rsidRPr="00B76751" w:rsidRDefault="00C17133" w:rsidP="000868A9">
            <w:pPr>
              <w:rPr>
                <w:rFonts w:ascii="Arial" w:hAnsi="Arial" w:cs="Arial"/>
                <w:b/>
                <w:bCs/>
                <w:u w:val="single"/>
              </w:rPr>
            </w:pPr>
            <w:r w:rsidRPr="00B76751">
              <w:rPr>
                <w:rFonts w:ascii="Arial" w:hAnsi="Arial" w:cs="Arial"/>
                <w:color w:val="000000"/>
              </w:rPr>
              <w:t>Lurasidone (po) (adults)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Degarelix (sc injection) (adults)</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 xml:space="preserve">Methylphenidate hydrochloride (po) (adult and paediatric patients) </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Denosumab (sc injection) (adults) </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Olanzapine (po) ( adult and paediatric patients)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Disulfiram (po)  (adults)</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Quetiapine (po) (adult and paediatric patients)</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 xml:space="preserve">Domperidone (po) (paediatric patients) </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Paliperidone (po) (adults)</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Dronedarone hydrochloride (po)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Paliperidone (depot injection))(adults)</w:t>
            </w:r>
          </w:p>
        </w:tc>
        <w:tc>
          <w:tcPr>
            <w:tcW w:w="4701" w:type="dxa"/>
            <w:vAlign w:val="bottom"/>
          </w:tcPr>
          <w:p w:rsidR="00C17133" w:rsidRPr="00B76751" w:rsidRDefault="00C17133" w:rsidP="000868A9">
            <w:pPr>
              <w:rPr>
                <w:rFonts w:ascii="Arial" w:hAnsi="Arial" w:cs="Arial"/>
              </w:rPr>
            </w:pPr>
            <w:r w:rsidRPr="00B76751">
              <w:rPr>
                <w:rFonts w:ascii="Arial" w:hAnsi="Arial" w:cs="Arial"/>
              </w:rPr>
              <w:t>Estradiol ( po and transdermal) ( only for 17+ for Indigo transgender patients )</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Risperidone (depot injection) )(adults)</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Fluoxetine hydrochloride (po) (paediatric patients)</w:t>
            </w:r>
          </w:p>
        </w:tc>
      </w:tr>
      <w:tr w:rsidR="00C17133" w:rsidRPr="00B76751" w:rsidTr="000868A9">
        <w:tc>
          <w:tcPr>
            <w:tcW w:w="4508" w:type="dxa"/>
            <w:vAlign w:val="bottom"/>
          </w:tcPr>
          <w:p w:rsidR="00C17133" w:rsidRPr="00B76751" w:rsidRDefault="00C17133" w:rsidP="000868A9">
            <w:pPr>
              <w:rPr>
                <w:rFonts w:ascii="Arial" w:hAnsi="Arial" w:cs="Arial"/>
                <w:color w:val="000000"/>
              </w:rPr>
            </w:pPr>
            <w:r w:rsidRPr="00B76751">
              <w:rPr>
                <w:rFonts w:ascii="Arial" w:hAnsi="Arial" w:cs="Arial"/>
                <w:color w:val="000000"/>
              </w:rPr>
              <w:t>Risperidone (po) (adults and paediatric patients)</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Fluvoxamine maleate (po) (paediatric patients)</w:t>
            </w:r>
          </w:p>
        </w:tc>
      </w:tr>
      <w:tr w:rsidR="00C17133" w:rsidRPr="00B76751" w:rsidTr="000868A9">
        <w:tc>
          <w:tcPr>
            <w:tcW w:w="4508" w:type="dxa"/>
          </w:tcPr>
          <w:p w:rsidR="00C17133" w:rsidRPr="00B76751" w:rsidDel="00A6173E" w:rsidRDefault="00C17133" w:rsidP="000868A9">
            <w:pPr>
              <w:rPr>
                <w:rFonts w:ascii="Arial" w:hAnsi="Arial" w:cs="Arial"/>
                <w:color w:val="000000"/>
              </w:rPr>
            </w:pPr>
            <w:r w:rsidRPr="00B76751">
              <w:rPr>
                <w:rFonts w:ascii="Arial" w:hAnsi="Arial" w:cs="Arial"/>
                <w:color w:val="000000"/>
              </w:rPr>
              <w:t>Zuclopenthixol decanoate ( depot injection)( adults)</w:t>
            </w: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Goserelin ( implant) ( 17+ for Indigo transgender patients and adults for other indications)</w:t>
            </w:r>
          </w:p>
        </w:tc>
      </w:tr>
      <w:tr w:rsidR="00C17133" w:rsidRPr="00B76751" w:rsidTr="000868A9">
        <w:tc>
          <w:tcPr>
            <w:tcW w:w="4508" w:type="dxa"/>
          </w:tcPr>
          <w:p w:rsidR="00C17133" w:rsidRPr="00B76751" w:rsidRDefault="00C17133" w:rsidP="000868A9">
            <w:pPr>
              <w:rPr>
                <w:rFonts w:ascii="Arial" w:hAnsi="Arial" w:cs="Arial"/>
                <w:color w:val="000000"/>
              </w:rPr>
            </w:pPr>
            <w:r w:rsidRPr="00B76751">
              <w:rPr>
                <w:rFonts w:ascii="Arial" w:hAnsi="Arial" w:cs="Arial"/>
                <w:color w:val="000000"/>
              </w:rPr>
              <w:t>Shared care requests from private providers</w:t>
            </w:r>
            <w:r w:rsidR="00386EE1">
              <w:rPr>
                <w:rFonts w:ascii="Arial" w:hAnsi="Arial" w:cs="Arial"/>
                <w:color w:val="000000"/>
              </w:rPr>
              <w:t xml:space="preserve"> who are commissioned by the NHS i.e. Right to Choose</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Hydroxycarbamide (po) (adults) </w:t>
            </w:r>
          </w:p>
        </w:tc>
      </w:tr>
      <w:tr w:rsidR="00C17133" w:rsidRPr="00B76751" w:rsidTr="000868A9">
        <w:tc>
          <w:tcPr>
            <w:tcW w:w="4508" w:type="dxa"/>
          </w:tcPr>
          <w:p w:rsidR="00C17133" w:rsidRPr="00B76751" w:rsidRDefault="00386EE1" w:rsidP="000868A9">
            <w:pPr>
              <w:rPr>
                <w:rFonts w:ascii="Arial" w:hAnsi="Arial" w:cs="Arial"/>
              </w:rPr>
            </w:pPr>
            <w:r>
              <w:rPr>
                <w:rFonts w:ascii="Arial" w:hAnsi="Arial" w:cs="Arial"/>
              </w:rPr>
              <w:t>Shared care request from private providers</w:t>
            </w: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Hydroxychloroquine sulfate (po) (adults)</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Ibandronic acid (po) (adults) </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 xml:space="preserve">Leflunomide (po) (adults) </w:t>
            </w:r>
          </w:p>
        </w:tc>
      </w:tr>
      <w:tr w:rsidR="00C17133" w:rsidRPr="00B76751" w:rsidTr="000868A9">
        <w:tc>
          <w:tcPr>
            <w:tcW w:w="4508" w:type="dxa"/>
            <w:vAlign w:val="bottom"/>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Leuprorelin acetate ( sc or IM injection) ( 17+ for Indigo transgender patients and adults for other indications)</w:t>
            </w:r>
          </w:p>
        </w:tc>
      </w:tr>
      <w:tr w:rsidR="00C17133" w:rsidRPr="00B76751" w:rsidTr="000868A9">
        <w:tc>
          <w:tcPr>
            <w:tcW w:w="4508" w:type="dxa"/>
          </w:tcPr>
          <w:p w:rsidR="00C17133" w:rsidRPr="00B76751" w:rsidRDefault="00C17133" w:rsidP="000868A9">
            <w:pPr>
              <w:rPr>
                <w:rFonts w:ascii="Arial" w:hAnsi="Arial" w:cs="Arial"/>
                <w:color w:val="000000"/>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Lithium carbonate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Lithium citrate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Melatonin (po) ( paediatric patients)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Mercaptopurine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Methotrexate (po)(adults)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Mycophenolate mofetil and mycophenolic acid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Patiromer calcium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Penicillamine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Riluzole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Sertraline hydrochloride (po) (paediatric patients)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Somatropin ( sc injection -self administration) (paediatric patients)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color w:val="000000"/>
              </w:rPr>
            </w:pPr>
            <w:r w:rsidRPr="00B76751">
              <w:rPr>
                <w:rFonts w:ascii="Arial" w:hAnsi="Arial" w:cs="Arial"/>
                <w:color w:val="000000"/>
              </w:rPr>
              <w:t>Sodium zirconium cyclosilicate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Sulfasalazine (po)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Triptorelin acetate ( sc or IM injection) (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RDefault="00C17133" w:rsidP="000868A9">
            <w:pPr>
              <w:rPr>
                <w:rFonts w:ascii="Arial" w:hAnsi="Arial" w:cs="Arial"/>
                <w:b/>
                <w:bCs/>
                <w:u w:val="single"/>
              </w:rPr>
            </w:pPr>
            <w:r w:rsidRPr="00B76751">
              <w:rPr>
                <w:rFonts w:ascii="Arial" w:hAnsi="Arial" w:cs="Arial"/>
                <w:color w:val="000000"/>
              </w:rPr>
              <w:t>Triptorelin embonate ( sc or IM injection) ( adults)</w:t>
            </w:r>
          </w:p>
        </w:tc>
      </w:tr>
      <w:tr w:rsidR="00C17133" w:rsidRPr="00B76751" w:rsidTr="000868A9">
        <w:tc>
          <w:tcPr>
            <w:tcW w:w="4508" w:type="dxa"/>
          </w:tcPr>
          <w:p w:rsidR="00C17133" w:rsidRPr="00B76751" w:rsidRDefault="00C17133" w:rsidP="000868A9">
            <w:pPr>
              <w:rPr>
                <w:rFonts w:ascii="Arial" w:hAnsi="Arial" w:cs="Arial"/>
                <w:b/>
                <w:bCs/>
                <w:u w:val="single"/>
              </w:rPr>
            </w:pPr>
          </w:p>
        </w:tc>
        <w:tc>
          <w:tcPr>
            <w:tcW w:w="4701" w:type="dxa"/>
            <w:vAlign w:val="bottom"/>
          </w:tcPr>
          <w:p w:rsidR="00C17133" w:rsidRPr="00B76751" w:rsidDel="00F3572C" w:rsidRDefault="00C17133" w:rsidP="000868A9">
            <w:pPr>
              <w:rPr>
                <w:rFonts w:ascii="Arial" w:hAnsi="Arial" w:cs="Arial"/>
                <w:color w:val="000000"/>
              </w:rPr>
            </w:pPr>
            <w:r w:rsidRPr="00B76751">
              <w:rPr>
                <w:rFonts w:ascii="Arial" w:hAnsi="Arial" w:cs="Arial"/>
                <w:color w:val="000000"/>
              </w:rPr>
              <w:t>Testosterone ( topical, IM injection) (only for 17+ for Indigo transgender patients)</w:t>
            </w:r>
          </w:p>
        </w:tc>
      </w:tr>
    </w:tbl>
    <w:p w:rsidR="00F847CD" w:rsidRDefault="00F847CD" w:rsidP="005E0A14">
      <w:pPr>
        <w:rPr>
          <w:rFonts w:ascii="Arial" w:hAnsi="Arial" w:cs="Arial"/>
          <w:b/>
          <w:bCs/>
          <w:u w:val="single"/>
        </w:rPr>
      </w:pPr>
    </w:p>
    <w:p w:rsidR="008E2996" w:rsidRDefault="008E2996" w:rsidP="008E2996">
      <w:pPr>
        <w:rPr>
          <w:rFonts w:ascii="Arial" w:hAnsi="Arial" w:cs="Arial"/>
          <w:b/>
          <w:bCs/>
          <w:u w:val="single"/>
        </w:rPr>
      </w:pPr>
      <w:r>
        <w:rPr>
          <w:rFonts w:ascii="Arial" w:hAnsi="Arial" w:cs="Arial"/>
          <w:b/>
          <w:bCs/>
          <w:u w:val="single"/>
        </w:rPr>
        <w:t>Appendix 2: financial modelling</w:t>
      </w:r>
    </w:p>
    <w:p w:rsidR="009F276B" w:rsidRDefault="008E2996" w:rsidP="008E2996">
      <w:pPr>
        <w:rPr>
          <w:rFonts w:ascii="Arial" w:hAnsi="Arial" w:cs="Arial"/>
        </w:rPr>
      </w:pPr>
      <w:r>
        <w:rPr>
          <w:rFonts w:ascii="Arial" w:hAnsi="Arial" w:cs="Arial"/>
        </w:rPr>
        <w:t xml:space="preserve">The financial modelling for this specification was based on an estimate of current </w:t>
      </w:r>
      <w:r w:rsidR="00610A43">
        <w:rPr>
          <w:rFonts w:ascii="Arial" w:hAnsi="Arial" w:cs="Arial"/>
        </w:rPr>
        <w:t xml:space="preserve">GM </w:t>
      </w:r>
      <w:r>
        <w:rPr>
          <w:rFonts w:ascii="Arial" w:hAnsi="Arial" w:cs="Arial"/>
        </w:rPr>
        <w:t>activity</w:t>
      </w:r>
      <w:r w:rsidR="009F276B">
        <w:rPr>
          <w:rFonts w:ascii="Arial" w:hAnsi="Arial" w:cs="Arial"/>
        </w:rPr>
        <w:t xml:space="preserve"> for all GMMMG approved shared care medicines</w:t>
      </w:r>
      <w:r w:rsidR="00610A43">
        <w:rPr>
          <w:rFonts w:ascii="Arial" w:hAnsi="Arial" w:cs="Arial"/>
        </w:rPr>
        <w:t xml:space="preserve">.  The funding envelope was determined using GM activity costed at inflation adjusted rates </w:t>
      </w:r>
      <w:r>
        <w:rPr>
          <w:rFonts w:ascii="Arial" w:hAnsi="Arial" w:cs="Arial"/>
        </w:rPr>
        <w:t xml:space="preserve">used from multiple sources across GM and other ICBs that use a banding criteria approach. </w:t>
      </w:r>
      <w:r w:rsidR="009F276B">
        <w:rPr>
          <w:rFonts w:ascii="Arial" w:hAnsi="Arial" w:cs="Arial"/>
        </w:rPr>
        <w:t xml:space="preserve">A total value was calculated for GM, then </w:t>
      </w:r>
      <w:r w:rsidR="00610A43">
        <w:rPr>
          <w:rFonts w:ascii="Arial" w:hAnsi="Arial" w:cs="Arial"/>
        </w:rPr>
        <w:t xml:space="preserve">for 2025/26 this has been </w:t>
      </w:r>
      <w:r w:rsidR="009F276B">
        <w:rPr>
          <w:rFonts w:ascii="Arial" w:hAnsi="Arial" w:cs="Arial"/>
        </w:rPr>
        <w:t>distributed based on GM’s weighted population.</w:t>
      </w:r>
    </w:p>
    <w:p w:rsidR="009F276B" w:rsidRDefault="009F276B" w:rsidP="008E2996">
      <w:pPr>
        <w:rPr>
          <w:rFonts w:ascii="Arial" w:hAnsi="Arial" w:cs="Arial"/>
        </w:rPr>
      </w:pPr>
    </w:p>
    <w:p w:rsidR="008E2996" w:rsidRDefault="008E2996" w:rsidP="008E2996">
      <w:pPr>
        <w:rPr>
          <w:rFonts w:ascii="Arial" w:hAnsi="Arial" w:cs="Arial"/>
        </w:rPr>
      </w:pPr>
      <w:r>
        <w:rPr>
          <w:rFonts w:ascii="Arial" w:hAnsi="Arial" w:cs="Arial"/>
        </w:rPr>
        <w:t xml:space="preserve">NHS GM recognises localities currently have different commissioning arrangements to deliver the monitoring requirements of SCPs. However, as this is a forerunner scheme and further work is required to understand and address this variation, this specification’s funding arrangements includes payment for GP </w:t>
      </w:r>
      <w:r w:rsidR="001A5517">
        <w:rPr>
          <w:rFonts w:ascii="Arial" w:hAnsi="Arial" w:cs="Arial"/>
        </w:rPr>
        <w:t>p</w:t>
      </w:r>
      <w:r>
        <w:rPr>
          <w:rFonts w:ascii="Arial" w:hAnsi="Arial" w:cs="Arial"/>
        </w:rPr>
        <w:t>ractices to undertake monitoring requirements in-</w:t>
      </w:r>
      <w:r w:rsidR="003A0F2E">
        <w:rPr>
          <w:rFonts w:ascii="Arial" w:hAnsi="Arial" w:cs="Arial"/>
        </w:rPr>
        <w:t>house e.g.</w:t>
      </w:r>
      <w:r>
        <w:rPr>
          <w:rFonts w:ascii="Arial" w:hAnsi="Arial" w:cs="Arial"/>
        </w:rPr>
        <w:t xml:space="preserve"> phlebotomy, </w:t>
      </w:r>
      <w:r w:rsidR="009C48EE">
        <w:rPr>
          <w:rFonts w:ascii="Arial" w:hAnsi="Arial" w:cs="Arial"/>
        </w:rPr>
        <w:t>recognising that arrangements currently differ across GM.</w:t>
      </w:r>
    </w:p>
    <w:p w:rsidR="008E2996" w:rsidRDefault="008E2996" w:rsidP="008E2996">
      <w:pPr>
        <w:rPr>
          <w:rFonts w:ascii="Arial" w:hAnsi="Arial" w:cs="Arial"/>
        </w:rPr>
      </w:pPr>
    </w:p>
    <w:p w:rsidR="007F299E" w:rsidRPr="000868A9" w:rsidRDefault="007F299E" w:rsidP="007F299E">
      <w:pPr>
        <w:rPr>
          <w:rFonts w:ascii="Arial" w:hAnsi="Arial" w:cs="Arial"/>
        </w:rPr>
      </w:pPr>
      <w:r w:rsidRPr="007F299E">
        <w:rPr>
          <w:rFonts w:ascii="Arial" w:hAnsi="Arial" w:cs="Arial"/>
        </w:rPr>
        <w:t>Please note. further work will be undertaken throughout 25/26 to undertake a deeper dive into the costings associated with shared care and develop a cohort-based funding approach for the 26/27 scheme.</w:t>
      </w:r>
      <w:r>
        <w:rPr>
          <w:rFonts w:ascii="Arial" w:hAnsi="Arial" w:cs="Arial"/>
        </w:rPr>
        <w:t xml:space="preserve"> </w:t>
      </w:r>
    </w:p>
    <w:p w:rsidR="008E2996" w:rsidRPr="000868A9" w:rsidRDefault="008E2996" w:rsidP="008E2996">
      <w:pPr>
        <w:rPr>
          <w:rFonts w:ascii="Arial" w:hAnsi="Arial" w:cs="Arial"/>
        </w:rPr>
      </w:pPr>
    </w:p>
    <w:p w:rsidR="008E2996" w:rsidRPr="000868A9" w:rsidRDefault="008E2996" w:rsidP="008E2996">
      <w:pPr>
        <w:rPr>
          <w:rFonts w:ascii="Arial" w:hAnsi="Arial" w:cs="Arial"/>
          <w:u w:val="single"/>
        </w:rPr>
      </w:pPr>
    </w:p>
    <w:p w:rsidR="003A0F2E" w:rsidRPr="00386EE1" w:rsidRDefault="00386EE1" w:rsidP="005E0A14">
      <w:pPr>
        <w:rPr>
          <w:rFonts w:ascii="Arial" w:hAnsi="Arial" w:cs="Arial"/>
          <w:b/>
          <w:bCs/>
          <w:u w:val="single"/>
        </w:rPr>
      </w:pPr>
      <w:r w:rsidRPr="00386EE1">
        <w:rPr>
          <w:rFonts w:ascii="Arial" w:hAnsi="Arial" w:cs="Arial"/>
          <w:b/>
          <w:bCs/>
          <w:u w:val="single"/>
        </w:rPr>
        <w:t xml:space="preserve"> </w:t>
      </w:r>
    </w:p>
    <w:sectPr w:rsidR="003A0F2E" w:rsidRPr="00386EE1" w:rsidSect="00F50D09">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AA2" w:rsidRDefault="00953AA2" w:rsidP="000B4744">
      <w:r>
        <w:separator/>
      </w:r>
    </w:p>
  </w:endnote>
  <w:endnote w:type="continuationSeparator" w:id="0">
    <w:p w:rsidR="00953AA2" w:rsidRDefault="00953AA2" w:rsidP="000B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AA2" w:rsidRDefault="00953AA2" w:rsidP="000B4744">
      <w:r>
        <w:separator/>
      </w:r>
    </w:p>
  </w:footnote>
  <w:footnote w:type="continuationSeparator" w:id="0">
    <w:p w:rsidR="00953AA2" w:rsidRDefault="00953AA2" w:rsidP="000B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744" w:rsidRDefault="000B4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E7E"/>
    <w:multiLevelType w:val="hybridMultilevel"/>
    <w:tmpl w:val="CB8415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33D6"/>
    <w:multiLevelType w:val="hybridMultilevel"/>
    <w:tmpl w:val="4FA4BBD4"/>
    <w:lvl w:ilvl="0" w:tplc="548E32E6">
      <w:start w:val="18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47A4"/>
    <w:multiLevelType w:val="hybridMultilevel"/>
    <w:tmpl w:val="28B4F28E"/>
    <w:lvl w:ilvl="0" w:tplc="548E32E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B2A4D"/>
    <w:multiLevelType w:val="hybridMultilevel"/>
    <w:tmpl w:val="DDD6DF2A"/>
    <w:lvl w:ilvl="0" w:tplc="D46E0B74">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732B3"/>
    <w:multiLevelType w:val="hybridMultilevel"/>
    <w:tmpl w:val="8E221B84"/>
    <w:lvl w:ilvl="0" w:tplc="F386EC7C">
      <w:start w:val="1"/>
      <w:numFmt w:val="lowerRoman"/>
      <w:lvlText w:val="%1)"/>
      <w:lvlJc w:val="right"/>
      <w:pPr>
        <w:ind w:left="1020" w:hanging="360"/>
      </w:pPr>
    </w:lvl>
    <w:lvl w:ilvl="1" w:tplc="0574B35C">
      <w:start w:val="1"/>
      <w:numFmt w:val="lowerRoman"/>
      <w:lvlText w:val="%2)"/>
      <w:lvlJc w:val="right"/>
      <w:pPr>
        <w:ind w:left="1020" w:hanging="360"/>
      </w:pPr>
    </w:lvl>
    <w:lvl w:ilvl="2" w:tplc="68AE5560">
      <w:start w:val="1"/>
      <w:numFmt w:val="lowerRoman"/>
      <w:lvlText w:val="%3)"/>
      <w:lvlJc w:val="right"/>
      <w:pPr>
        <w:ind w:left="1020" w:hanging="360"/>
      </w:pPr>
    </w:lvl>
    <w:lvl w:ilvl="3" w:tplc="9800DCA8">
      <w:start w:val="1"/>
      <w:numFmt w:val="lowerRoman"/>
      <w:lvlText w:val="%4)"/>
      <w:lvlJc w:val="right"/>
      <w:pPr>
        <w:ind w:left="1020" w:hanging="360"/>
      </w:pPr>
    </w:lvl>
    <w:lvl w:ilvl="4" w:tplc="CBDA0996">
      <w:start w:val="1"/>
      <w:numFmt w:val="lowerRoman"/>
      <w:lvlText w:val="%5)"/>
      <w:lvlJc w:val="right"/>
      <w:pPr>
        <w:ind w:left="1020" w:hanging="360"/>
      </w:pPr>
    </w:lvl>
    <w:lvl w:ilvl="5" w:tplc="2BB4140E">
      <w:start w:val="1"/>
      <w:numFmt w:val="lowerRoman"/>
      <w:lvlText w:val="%6)"/>
      <w:lvlJc w:val="right"/>
      <w:pPr>
        <w:ind w:left="1020" w:hanging="360"/>
      </w:pPr>
    </w:lvl>
    <w:lvl w:ilvl="6" w:tplc="A0F2103C">
      <w:start w:val="1"/>
      <w:numFmt w:val="lowerRoman"/>
      <w:lvlText w:val="%7)"/>
      <w:lvlJc w:val="right"/>
      <w:pPr>
        <w:ind w:left="1020" w:hanging="360"/>
      </w:pPr>
    </w:lvl>
    <w:lvl w:ilvl="7" w:tplc="31FACBA0">
      <w:start w:val="1"/>
      <w:numFmt w:val="lowerRoman"/>
      <w:lvlText w:val="%8)"/>
      <w:lvlJc w:val="right"/>
      <w:pPr>
        <w:ind w:left="1020" w:hanging="360"/>
      </w:pPr>
    </w:lvl>
    <w:lvl w:ilvl="8" w:tplc="73E6CE5A">
      <w:start w:val="1"/>
      <w:numFmt w:val="lowerRoman"/>
      <w:lvlText w:val="%9)"/>
      <w:lvlJc w:val="right"/>
      <w:pPr>
        <w:ind w:left="1020" w:hanging="360"/>
      </w:pPr>
    </w:lvl>
  </w:abstractNum>
  <w:abstractNum w:abstractNumId="5" w15:restartNumberingAfterBreak="0">
    <w:nsid w:val="25F843D4"/>
    <w:multiLevelType w:val="hybridMultilevel"/>
    <w:tmpl w:val="31E81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1E123A"/>
    <w:multiLevelType w:val="hybridMultilevel"/>
    <w:tmpl w:val="48426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F22C99"/>
    <w:multiLevelType w:val="hybridMultilevel"/>
    <w:tmpl w:val="C602C8A4"/>
    <w:lvl w:ilvl="0" w:tplc="3F74CEF2">
      <w:numFmt w:val="bullet"/>
      <w:lvlText w:val=""/>
      <w:lvlJc w:val="left"/>
      <w:pPr>
        <w:ind w:left="1485" w:hanging="360"/>
      </w:pPr>
      <w:rPr>
        <w:rFonts w:ascii="Wingdings" w:eastAsiaTheme="minorHAnsi" w:hAnsi="Wingdings" w:cs="Calibri"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2F3C4F52"/>
    <w:multiLevelType w:val="hybridMultilevel"/>
    <w:tmpl w:val="FD50AE64"/>
    <w:lvl w:ilvl="0" w:tplc="73E4954C">
      <w:numFmt w:val="bullet"/>
      <w:lvlText w:val=""/>
      <w:lvlJc w:val="left"/>
      <w:pPr>
        <w:ind w:left="1080" w:hanging="360"/>
      </w:pPr>
      <w:rPr>
        <w:rFonts w:ascii="Wingdings" w:eastAsiaTheme="minorHAnsi"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EA4E74"/>
    <w:multiLevelType w:val="hybridMultilevel"/>
    <w:tmpl w:val="3D0ED092"/>
    <w:lvl w:ilvl="0" w:tplc="B1802BC2">
      <w:numFmt w:val="bullet"/>
      <w:lvlText w:val=""/>
      <w:lvlJc w:val="left"/>
      <w:pPr>
        <w:ind w:left="1080" w:hanging="360"/>
      </w:pPr>
      <w:rPr>
        <w:rFonts w:ascii="Wingdings" w:eastAsiaTheme="minorHAnsi"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6C34F6"/>
    <w:multiLevelType w:val="hybridMultilevel"/>
    <w:tmpl w:val="6846C080"/>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lowerLetter"/>
      <w:lvlText w:val="%3."/>
      <w:lvlJc w:val="right"/>
      <w:pPr>
        <w:ind w:left="2160" w:hanging="180"/>
      </w:pPr>
      <w:rPr>
        <w:rFonts w:ascii="Calibri" w:eastAsia="Times New Roman" w:hAnsi="Calibri" w:cs="Calibr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BF2FFE"/>
    <w:multiLevelType w:val="hybridMultilevel"/>
    <w:tmpl w:val="2A58C4B8"/>
    <w:lvl w:ilvl="0" w:tplc="A608F2D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C60E1D"/>
    <w:multiLevelType w:val="hybridMultilevel"/>
    <w:tmpl w:val="441EB13A"/>
    <w:lvl w:ilvl="0" w:tplc="6DE43286">
      <w:start w:val="1"/>
      <w:numFmt w:val="decimal"/>
      <w:lvlText w:val="%1)"/>
      <w:lvlJc w:val="left"/>
      <w:pPr>
        <w:ind w:left="1020" w:hanging="360"/>
      </w:pPr>
    </w:lvl>
    <w:lvl w:ilvl="1" w:tplc="9FD6808A">
      <w:start w:val="1"/>
      <w:numFmt w:val="decimal"/>
      <w:lvlText w:val="%2)"/>
      <w:lvlJc w:val="left"/>
      <w:pPr>
        <w:ind w:left="1020" w:hanging="360"/>
      </w:pPr>
    </w:lvl>
    <w:lvl w:ilvl="2" w:tplc="9490E71C">
      <w:start w:val="1"/>
      <w:numFmt w:val="decimal"/>
      <w:lvlText w:val="%3)"/>
      <w:lvlJc w:val="left"/>
      <w:pPr>
        <w:ind w:left="1020" w:hanging="360"/>
      </w:pPr>
    </w:lvl>
    <w:lvl w:ilvl="3" w:tplc="9EE0888E">
      <w:start w:val="1"/>
      <w:numFmt w:val="decimal"/>
      <w:lvlText w:val="%4)"/>
      <w:lvlJc w:val="left"/>
      <w:pPr>
        <w:ind w:left="1020" w:hanging="360"/>
      </w:pPr>
    </w:lvl>
    <w:lvl w:ilvl="4" w:tplc="44445A9E">
      <w:start w:val="1"/>
      <w:numFmt w:val="decimal"/>
      <w:lvlText w:val="%5)"/>
      <w:lvlJc w:val="left"/>
      <w:pPr>
        <w:ind w:left="1020" w:hanging="360"/>
      </w:pPr>
    </w:lvl>
    <w:lvl w:ilvl="5" w:tplc="DAC65722">
      <w:start w:val="1"/>
      <w:numFmt w:val="decimal"/>
      <w:lvlText w:val="%6)"/>
      <w:lvlJc w:val="left"/>
      <w:pPr>
        <w:ind w:left="1020" w:hanging="360"/>
      </w:pPr>
    </w:lvl>
    <w:lvl w:ilvl="6" w:tplc="3C249B48">
      <w:start w:val="1"/>
      <w:numFmt w:val="decimal"/>
      <w:lvlText w:val="%7)"/>
      <w:lvlJc w:val="left"/>
      <w:pPr>
        <w:ind w:left="1020" w:hanging="360"/>
      </w:pPr>
    </w:lvl>
    <w:lvl w:ilvl="7" w:tplc="C2D02682">
      <w:start w:val="1"/>
      <w:numFmt w:val="decimal"/>
      <w:lvlText w:val="%8)"/>
      <w:lvlJc w:val="left"/>
      <w:pPr>
        <w:ind w:left="1020" w:hanging="360"/>
      </w:pPr>
    </w:lvl>
    <w:lvl w:ilvl="8" w:tplc="A4560348">
      <w:start w:val="1"/>
      <w:numFmt w:val="decimal"/>
      <w:lvlText w:val="%9)"/>
      <w:lvlJc w:val="left"/>
      <w:pPr>
        <w:ind w:left="1020" w:hanging="360"/>
      </w:pPr>
    </w:lvl>
  </w:abstractNum>
  <w:abstractNum w:abstractNumId="13" w15:restartNumberingAfterBreak="0">
    <w:nsid w:val="3D577F8A"/>
    <w:multiLevelType w:val="hybridMultilevel"/>
    <w:tmpl w:val="BADABBB2"/>
    <w:lvl w:ilvl="0" w:tplc="C78CBC78">
      <w:start w:val="2025"/>
      <w:numFmt w:val="bullet"/>
      <w:lvlText w:val="-"/>
      <w:lvlJc w:val="left"/>
      <w:pPr>
        <w:ind w:left="720" w:hanging="360"/>
      </w:pPr>
      <w:rPr>
        <w:rFonts w:ascii="Aptos" w:eastAsiaTheme="minorHAnsi"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279C1"/>
    <w:multiLevelType w:val="hybridMultilevel"/>
    <w:tmpl w:val="43769626"/>
    <w:lvl w:ilvl="0" w:tplc="CA9C79EC">
      <w:start w:val="1"/>
      <w:numFmt w:val="decimal"/>
      <w:lvlText w:val="%1)"/>
      <w:lvlJc w:val="left"/>
      <w:pPr>
        <w:ind w:left="720" w:hanging="360"/>
      </w:pPr>
    </w:lvl>
    <w:lvl w:ilvl="1" w:tplc="C298CE62">
      <w:start w:val="1"/>
      <w:numFmt w:val="decimal"/>
      <w:lvlText w:val="%2)"/>
      <w:lvlJc w:val="left"/>
      <w:pPr>
        <w:ind w:left="720" w:hanging="360"/>
      </w:pPr>
    </w:lvl>
    <w:lvl w:ilvl="2" w:tplc="1B4819BE">
      <w:start w:val="1"/>
      <w:numFmt w:val="decimal"/>
      <w:lvlText w:val="%3)"/>
      <w:lvlJc w:val="left"/>
      <w:pPr>
        <w:ind w:left="720" w:hanging="360"/>
      </w:pPr>
    </w:lvl>
    <w:lvl w:ilvl="3" w:tplc="FC8C2C86">
      <w:start w:val="1"/>
      <w:numFmt w:val="decimal"/>
      <w:lvlText w:val="%4)"/>
      <w:lvlJc w:val="left"/>
      <w:pPr>
        <w:ind w:left="720" w:hanging="360"/>
      </w:pPr>
    </w:lvl>
    <w:lvl w:ilvl="4" w:tplc="60DC72C6">
      <w:start w:val="1"/>
      <w:numFmt w:val="decimal"/>
      <w:lvlText w:val="%5)"/>
      <w:lvlJc w:val="left"/>
      <w:pPr>
        <w:ind w:left="720" w:hanging="360"/>
      </w:pPr>
    </w:lvl>
    <w:lvl w:ilvl="5" w:tplc="96C0CFE0">
      <w:start w:val="1"/>
      <w:numFmt w:val="decimal"/>
      <w:lvlText w:val="%6)"/>
      <w:lvlJc w:val="left"/>
      <w:pPr>
        <w:ind w:left="720" w:hanging="360"/>
      </w:pPr>
    </w:lvl>
    <w:lvl w:ilvl="6" w:tplc="47D87794">
      <w:start w:val="1"/>
      <w:numFmt w:val="decimal"/>
      <w:lvlText w:val="%7)"/>
      <w:lvlJc w:val="left"/>
      <w:pPr>
        <w:ind w:left="720" w:hanging="360"/>
      </w:pPr>
    </w:lvl>
    <w:lvl w:ilvl="7" w:tplc="EEBC21DC">
      <w:start w:val="1"/>
      <w:numFmt w:val="decimal"/>
      <w:lvlText w:val="%8)"/>
      <w:lvlJc w:val="left"/>
      <w:pPr>
        <w:ind w:left="720" w:hanging="360"/>
      </w:pPr>
    </w:lvl>
    <w:lvl w:ilvl="8" w:tplc="46A8EA9E">
      <w:start w:val="1"/>
      <w:numFmt w:val="decimal"/>
      <w:lvlText w:val="%9)"/>
      <w:lvlJc w:val="left"/>
      <w:pPr>
        <w:ind w:left="720" w:hanging="360"/>
      </w:pPr>
    </w:lvl>
  </w:abstractNum>
  <w:abstractNum w:abstractNumId="15" w15:restartNumberingAfterBreak="0">
    <w:nsid w:val="4AF13629"/>
    <w:multiLevelType w:val="hybridMultilevel"/>
    <w:tmpl w:val="FA1CAE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E7332"/>
    <w:multiLevelType w:val="hybridMultilevel"/>
    <w:tmpl w:val="39DAB4BE"/>
    <w:lvl w:ilvl="0" w:tplc="6088AABC">
      <w:start w:val="1"/>
      <w:numFmt w:val="decimal"/>
      <w:lvlText w:val="%1)"/>
      <w:lvlJc w:val="left"/>
      <w:pPr>
        <w:ind w:left="1020" w:hanging="360"/>
      </w:pPr>
    </w:lvl>
    <w:lvl w:ilvl="1" w:tplc="6B44B288">
      <w:start w:val="1"/>
      <w:numFmt w:val="decimal"/>
      <w:lvlText w:val="%2)"/>
      <w:lvlJc w:val="left"/>
      <w:pPr>
        <w:ind w:left="1020" w:hanging="360"/>
      </w:pPr>
    </w:lvl>
    <w:lvl w:ilvl="2" w:tplc="912CAC7A">
      <w:start w:val="1"/>
      <w:numFmt w:val="decimal"/>
      <w:lvlText w:val="%3)"/>
      <w:lvlJc w:val="left"/>
      <w:pPr>
        <w:ind w:left="1020" w:hanging="360"/>
      </w:pPr>
    </w:lvl>
    <w:lvl w:ilvl="3" w:tplc="7930BDDE">
      <w:start w:val="1"/>
      <w:numFmt w:val="decimal"/>
      <w:lvlText w:val="%4)"/>
      <w:lvlJc w:val="left"/>
      <w:pPr>
        <w:ind w:left="1020" w:hanging="360"/>
      </w:pPr>
    </w:lvl>
    <w:lvl w:ilvl="4" w:tplc="875A0492">
      <w:start w:val="1"/>
      <w:numFmt w:val="decimal"/>
      <w:lvlText w:val="%5)"/>
      <w:lvlJc w:val="left"/>
      <w:pPr>
        <w:ind w:left="1020" w:hanging="360"/>
      </w:pPr>
    </w:lvl>
    <w:lvl w:ilvl="5" w:tplc="D2989142">
      <w:start w:val="1"/>
      <w:numFmt w:val="decimal"/>
      <w:lvlText w:val="%6)"/>
      <w:lvlJc w:val="left"/>
      <w:pPr>
        <w:ind w:left="1020" w:hanging="360"/>
      </w:pPr>
    </w:lvl>
    <w:lvl w:ilvl="6" w:tplc="3048BE3A">
      <w:start w:val="1"/>
      <w:numFmt w:val="decimal"/>
      <w:lvlText w:val="%7)"/>
      <w:lvlJc w:val="left"/>
      <w:pPr>
        <w:ind w:left="1020" w:hanging="360"/>
      </w:pPr>
    </w:lvl>
    <w:lvl w:ilvl="7" w:tplc="5530A5B8">
      <w:start w:val="1"/>
      <w:numFmt w:val="decimal"/>
      <w:lvlText w:val="%8)"/>
      <w:lvlJc w:val="left"/>
      <w:pPr>
        <w:ind w:left="1020" w:hanging="360"/>
      </w:pPr>
    </w:lvl>
    <w:lvl w:ilvl="8" w:tplc="0F7C80B0">
      <w:start w:val="1"/>
      <w:numFmt w:val="decimal"/>
      <w:lvlText w:val="%9)"/>
      <w:lvlJc w:val="left"/>
      <w:pPr>
        <w:ind w:left="1020" w:hanging="360"/>
      </w:pPr>
    </w:lvl>
  </w:abstractNum>
  <w:abstractNum w:abstractNumId="17" w15:restartNumberingAfterBreak="0">
    <w:nsid w:val="4C080DC1"/>
    <w:multiLevelType w:val="hybridMultilevel"/>
    <w:tmpl w:val="0B6EDA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5E72DA"/>
    <w:multiLevelType w:val="hybridMultilevel"/>
    <w:tmpl w:val="D848E4EE"/>
    <w:lvl w:ilvl="0" w:tplc="D46E0B74">
      <w:start w:val="202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E085C"/>
    <w:multiLevelType w:val="hybridMultilevel"/>
    <w:tmpl w:val="5E66F0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B3027"/>
    <w:multiLevelType w:val="hybridMultilevel"/>
    <w:tmpl w:val="05D89B86"/>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C64FBD"/>
    <w:multiLevelType w:val="hybridMultilevel"/>
    <w:tmpl w:val="4DE6D9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738F0"/>
    <w:multiLevelType w:val="multilevel"/>
    <w:tmpl w:val="3D925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113F3"/>
    <w:multiLevelType w:val="hybridMultilevel"/>
    <w:tmpl w:val="27067792"/>
    <w:lvl w:ilvl="0" w:tplc="90DA8D5A">
      <w:start w:val="1"/>
      <w:numFmt w:val="decimal"/>
      <w:lvlText w:val="%1)"/>
      <w:lvlJc w:val="left"/>
      <w:pPr>
        <w:ind w:left="1020" w:hanging="360"/>
      </w:pPr>
    </w:lvl>
    <w:lvl w:ilvl="1" w:tplc="5D26ED22">
      <w:start w:val="1"/>
      <w:numFmt w:val="decimal"/>
      <w:lvlText w:val="%2)"/>
      <w:lvlJc w:val="left"/>
      <w:pPr>
        <w:ind w:left="1020" w:hanging="360"/>
      </w:pPr>
    </w:lvl>
    <w:lvl w:ilvl="2" w:tplc="B762ACCA">
      <w:start w:val="1"/>
      <w:numFmt w:val="decimal"/>
      <w:lvlText w:val="%3)"/>
      <w:lvlJc w:val="left"/>
      <w:pPr>
        <w:ind w:left="1020" w:hanging="360"/>
      </w:pPr>
    </w:lvl>
    <w:lvl w:ilvl="3" w:tplc="56E02BBA">
      <w:start w:val="1"/>
      <w:numFmt w:val="decimal"/>
      <w:lvlText w:val="%4)"/>
      <w:lvlJc w:val="left"/>
      <w:pPr>
        <w:ind w:left="1020" w:hanging="360"/>
      </w:pPr>
    </w:lvl>
    <w:lvl w:ilvl="4" w:tplc="D9123628">
      <w:start w:val="1"/>
      <w:numFmt w:val="decimal"/>
      <w:lvlText w:val="%5)"/>
      <w:lvlJc w:val="left"/>
      <w:pPr>
        <w:ind w:left="1020" w:hanging="360"/>
      </w:pPr>
    </w:lvl>
    <w:lvl w:ilvl="5" w:tplc="EE98FBE4">
      <w:start w:val="1"/>
      <w:numFmt w:val="decimal"/>
      <w:lvlText w:val="%6)"/>
      <w:lvlJc w:val="left"/>
      <w:pPr>
        <w:ind w:left="1020" w:hanging="360"/>
      </w:pPr>
    </w:lvl>
    <w:lvl w:ilvl="6" w:tplc="129A07D0">
      <w:start w:val="1"/>
      <w:numFmt w:val="decimal"/>
      <w:lvlText w:val="%7)"/>
      <w:lvlJc w:val="left"/>
      <w:pPr>
        <w:ind w:left="1020" w:hanging="360"/>
      </w:pPr>
    </w:lvl>
    <w:lvl w:ilvl="7" w:tplc="0F42D152">
      <w:start w:val="1"/>
      <w:numFmt w:val="decimal"/>
      <w:lvlText w:val="%8)"/>
      <w:lvlJc w:val="left"/>
      <w:pPr>
        <w:ind w:left="1020" w:hanging="360"/>
      </w:pPr>
    </w:lvl>
    <w:lvl w:ilvl="8" w:tplc="DF9AD078">
      <w:start w:val="1"/>
      <w:numFmt w:val="decimal"/>
      <w:lvlText w:val="%9)"/>
      <w:lvlJc w:val="left"/>
      <w:pPr>
        <w:ind w:left="1020" w:hanging="360"/>
      </w:pPr>
    </w:lvl>
  </w:abstractNum>
  <w:abstractNum w:abstractNumId="24" w15:restartNumberingAfterBreak="0">
    <w:nsid w:val="678930CD"/>
    <w:multiLevelType w:val="hybridMultilevel"/>
    <w:tmpl w:val="BB60E0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8135C1D"/>
    <w:multiLevelType w:val="hybridMultilevel"/>
    <w:tmpl w:val="6846C080"/>
    <w:lvl w:ilvl="0" w:tplc="9D903788">
      <w:start w:val="1"/>
      <w:numFmt w:val="decimal"/>
      <w:lvlText w:val="%1."/>
      <w:lvlJc w:val="left"/>
      <w:pPr>
        <w:ind w:left="720" w:hanging="360"/>
      </w:pPr>
      <w:rPr>
        <w:rFonts w:hint="default"/>
        <w:b w:val="0"/>
        <w:bCs w:val="0"/>
        <w:i w:val="0"/>
        <w:iCs w:val="0"/>
      </w:rPr>
    </w:lvl>
    <w:lvl w:ilvl="1" w:tplc="08090019">
      <w:start w:val="1"/>
      <w:numFmt w:val="lowerLetter"/>
      <w:lvlText w:val="%2."/>
      <w:lvlJc w:val="left"/>
      <w:pPr>
        <w:ind w:left="1440" w:hanging="360"/>
      </w:pPr>
    </w:lvl>
    <w:lvl w:ilvl="2" w:tplc="8FA2D25E">
      <w:start w:val="1"/>
      <w:numFmt w:val="lowerLetter"/>
      <w:lvlText w:val="%3."/>
      <w:lvlJc w:val="right"/>
      <w:pPr>
        <w:ind w:left="2160" w:hanging="180"/>
      </w:pPr>
      <w:rPr>
        <w:rFonts w:ascii="Calibri" w:eastAsia="Times New Roman" w:hAnsi="Calibri" w:cs="Calibri"/>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B75D7"/>
    <w:multiLevelType w:val="hybridMultilevel"/>
    <w:tmpl w:val="F252E836"/>
    <w:lvl w:ilvl="0" w:tplc="15AA9358">
      <w:start w:val="1"/>
      <w:numFmt w:val="decimal"/>
      <w:lvlText w:val="%1)"/>
      <w:lvlJc w:val="left"/>
      <w:pPr>
        <w:ind w:left="1020" w:hanging="360"/>
      </w:pPr>
    </w:lvl>
    <w:lvl w:ilvl="1" w:tplc="0602F2F0">
      <w:start w:val="1"/>
      <w:numFmt w:val="decimal"/>
      <w:lvlText w:val="%2)"/>
      <w:lvlJc w:val="left"/>
      <w:pPr>
        <w:ind w:left="1020" w:hanging="360"/>
      </w:pPr>
    </w:lvl>
    <w:lvl w:ilvl="2" w:tplc="8646C0F2">
      <w:start w:val="1"/>
      <w:numFmt w:val="decimal"/>
      <w:lvlText w:val="%3)"/>
      <w:lvlJc w:val="left"/>
      <w:pPr>
        <w:ind w:left="1020" w:hanging="360"/>
      </w:pPr>
    </w:lvl>
    <w:lvl w:ilvl="3" w:tplc="95788A4A">
      <w:start w:val="1"/>
      <w:numFmt w:val="decimal"/>
      <w:lvlText w:val="%4)"/>
      <w:lvlJc w:val="left"/>
      <w:pPr>
        <w:ind w:left="1020" w:hanging="360"/>
      </w:pPr>
    </w:lvl>
    <w:lvl w:ilvl="4" w:tplc="CDCCCB16">
      <w:start w:val="1"/>
      <w:numFmt w:val="decimal"/>
      <w:lvlText w:val="%5)"/>
      <w:lvlJc w:val="left"/>
      <w:pPr>
        <w:ind w:left="1020" w:hanging="360"/>
      </w:pPr>
    </w:lvl>
    <w:lvl w:ilvl="5" w:tplc="8A8460F0">
      <w:start w:val="1"/>
      <w:numFmt w:val="decimal"/>
      <w:lvlText w:val="%6)"/>
      <w:lvlJc w:val="left"/>
      <w:pPr>
        <w:ind w:left="1020" w:hanging="360"/>
      </w:pPr>
    </w:lvl>
    <w:lvl w:ilvl="6" w:tplc="6388F0D2">
      <w:start w:val="1"/>
      <w:numFmt w:val="decimal"/>
      <w:lvlText w:val="%7)"/>
      <w:lvlJc w:val="left"/>
      <w:pPr>
        <w:ind w:left="1020" w:hanging="360"/>
      </w:pPr>
    </w:lvl>
    <w:lvl w:ilvl="7" w:tplc="65B44B6C">
      <w:start w:val="1"/>
      <w:numFmt w:val="decimal"/>
      <w:lvlText w:val="%8)"/>
      <w:lvlJc w:val="left"/>
      <w:pPr>
        <w:ind w:left="1020" w:hanging="360"/>
      </w:pPr>
    </w:lvl>
    <w:lvl w:ilvl="8" w:tplc="BEB0DB1A">
      <w:start w:val="1"/>
      <w:numFmt w:val="decimal"/>
      <w:lvlText w:val="%9)"/>
      <w:lvlJc w:val="left"/>
      <w:pPr>
        <w:ind w:left="1020" w:hanging="360"/>
      </w:pPr>
    </w:lvl>
  </w:abstractNum>
  <w:abstractNum w:abstractNumId="27" w15:restartNumberingAfterBreak="0">
    <w:nsid w:val="6A6627B4"/>
    <w:multiLevelType w:val="hybridMultilevel"/>
    <w:tmpl w:val="DC4CD232"/>
    <w:lvl w:ilvl="0" w:tplc="6AEAF344">
      <w:start w:val="1"/>
      <w:numFmt w:val="decimal"/>
      <w:lvlText w:val="%1)"/>
      <w:lvlJc w:val="left"/>
      <w:pPr>
        <w:ind w:left="1020" w:hanging="360"/>
      </w:pPr>
    </w:lvl>
    <w:lvl w:ilvl="1" w:tplc="0D84E628">
      <w:start w:val="1"/>
      <w:numFmt w:val="decimal"/>
      <w:lvlText w:val="%2)"/>
      <w:lvlJc w:val="left"/>
      <w:pPr>
        <w:ind w:left="1020" w:hanging="360"/>
      </w:pPr>
    </w:lvl>
    <w:lvl w:ilvl="2" w:tplc="19B23B2A">
      <w:start w:val="1"/>
      <w:numFmt w:val="decimal"/>
      <w:lvlText w:val="%3)"/>
      <w:lvlJc w:val="left"/>
      <w:pPr>
        <w:ind w:left="1020" w:hanging="360"/>
      </w:pPr>
    </w:lvl>
    <w:lvl w:ilvl="3" w:tplc="152C9EE2">
      <w:start w:val="1"/>
      <w:numFmt w:val="decimal"/>
      <w:lvlText w:val="%4)"/>
      <w:lvlJc w:val="left"/>
      <w:pPr>
        <w:ind w:left="1020" w:hanging="360"/>
      </w:pPr>
    </w:lvl>
    <w:lvl w:ilvl="4" w:tplc="DBD4FF48">
      <w:start w:val="1"/>
      <w:numFmt w:val="decimal"/>
      <w:lvlText w:val="%5)"/>
      <w:lvlJc w:val="left"/>
      <w:pPr>
        <w:ind w:left="1020" w:hanging="360"/>
      </w:pPr>
    </w:lvl>
    <w:lvl w:ilvl="5" w:tplc="081EA418">
      <w:start w:val="1"/>
      <w:numFmt w:val="decimal"/>
      <w:lvlText w:val="%6)"/>
      <w:lvlJc w:val="left"/>
      <w:pPr>
        <w:ind w:left="1020" w:hanging="360"/>
      </w:pPr>
    </w:lvl>
    <w:lvl w:ilvl="6" w:tplc="A454CEBA">
      <w:start w:val="1"/>
      <w:numFmt w:val="decimal"/>
      <w:lvlText w:val="%7)"/>
      <w:lvlJc w:val="left"/>
      <w:pPr>
        <w:ind w:left="1020" w:hanging="360"/>
      </w:pPr>
    </w:lvl>
    <w:lvl w:ilvl="7" w:tplc="7500E4CA">
      <w:start w:val="1"/>
      <w:numFmt w:val="decimal"/>
      <w:lvlText w:val="%8)"/>
      <w:lvlJc w:val="left"/>
      <w:pPr>
        <w:ind w:left="1020" w:hanging="360"/>
      </w:pPr>
    </w:lvl>
    <w:lvl w:ilvl="8" w:tplc="95A0BDBA">
      <w:start w:val="1"/>
      <w:numFmt w:val="decimal"/>
      <w:lvlText w:val="%9)"/>
      <w:lvlJc w:val="left"/>
      <w:pPr>
        <w:ind w:left="1020" w:hanging="360"/>
      </w:pPr>
    </w:lvl>
  </w:abstractNum>
  <w:abstractNum w:abstractNumId="28" w15:restartNumberingAfterBreak="0">
    <w:nsid w:val="6CD4475B"/>
    <w:multiLevelType w:val="hybridMultilevel"/>
    <w:tmpl w:val="49B40ABA"/>
    <w:lvl w:ilvl="0" w:tplc="97DA08B4">
      <w:numFmt w:val="bullet"/>
      <w:lvlText w:val=""/>
      <w:lvlJc w:val="left"/>
      <w:pPr>
        <w:ind w:left="1080" w:hanging="360"/>
      </w:pPr>
      <w:rPr>
        <w:rFonts w:ascii="Wingdings" w:eastAsiaTheme="minorHAnsi"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B971CF"/>
    <w:multiLevelType w:val="hybridMultilevel"/>
    <w:tmpl w:val="CB946432"/>
    <w:lvl w:ilvl="0" w:tplc="548E32E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E2FD3"/>
    <w:multiLevelType w:val="hybridMultilevel"/>
    <w:tmpl w:val="E2B85BF6"/>
    <w:lvl w:ilvl="0" w:tplc="545E1902">
      <w:start w:val="1"/>
      <w:numFmt w:val="decimal"/>
      <w:lvlText w:val="%1)"/>
      <w:lvlJc w:val="left"/>
      <w:pPr>
        <w:ind w:left="1020" w:hanging="360"/>
      </w:pPr>
    </w:lvl>
    <w:lvl w:ilvl="1" w:tplc="E7EA9160">
      <w:start w:val="1"/>
      <w:numFmt w:val="decimal"/>
      <w:lvlText w:val="%2)"/>
      <w:lvlJc w:val="left"/>
      <w:pPr>
        <w:ind w:left="1020" w:hanging="360"/>
      </w:pPr>
    </w:lvl>
    <w:lvl w:ilvl="2" w:tplc="95E4ED92">
      <w:start w:val="1"/>
      <w:numFmt w:val="decimal"/>
      <w:lvlText w:val="%3)"/>
      <w:lvlJc w:val="left"/>
      <w:pPr>
        <w:ind w:left="1020" w:hanging="360"/>
      </w:pPr>
    </w:lvl>
    <w:lvl w:ilvl="3" w:tplc="A2147BA2">
      <w:start w:val="1"/>
      <w:numFmt w:val="decimal"/>
      <w:lvlText w:val="%4)"/>
      <w:lvlJc w:val="left"/>
      <w:pPr>
        <w:ind w:left="1020" w:hanging="360"/>
      </w:pPr>
    </w:lvl>
    <w:lvl w:ilvl="4" w:tplc="533A3EFC">
      <w:start w:val="1"/>
      <w:numFmt w:val="decimal"/>
      <w:lvlText w:val="%5)"/>
      <w:lvlJc w:val="left"/>
      <w:pPr>
        <w:ind w:left="1020" w:hanging="360"/>
      </w:pPr>
    </w:lvl>
    <w:lvl w:ilvl="5" w:tplc="97869D38">
      <w:start w:val="1"/>
      <w:numFmt w:val="decimal"/>
      <w:lvlText w:val="%6)"/>
      <w:lvlJc w:val="left"/>
      <w:pPr>
        <w:ind w:left="1020" w:hanging="360"/>
      </w:pPr>
    </w:lvl>
    <w:lvl w:ilvl="6" w:tplc="0F905D32">
      <w:start w:val="1"/>
      <w:numFmt w:val="decimal"/>
      <w:lvlText w:val="%7)"/>
      <w:lvlJc w:val="left"/>
      <w:pPr>
        <w:ind w:left="1020" w:hanging="360"/>
      </w:pPr>
    </w:lvl>
    <w:lvl w:ilvl="7" w:tplc="B4C8E09E">
      <w:start w:val="1"/>
      <w:numFmt w:val="decimal"/>
      <w:lvlText w:val="%8)"/>
      <w:lvlJc w:val="left"/>
      <w:pPr>
        <w:ind w:left="1020" w:hanging="360"/>
      </w:pPr>
    </w:lvl>
    <w:lvl w:ilvl="8" w:tplc="BB72A58C">
      <w:start w:val="1"/>
      <w:numFmt w:val="decimal"/>
      <w:lvlText w:val="%9)"/>
      <w:lvlJc w:val="left"/>
      <w:pPr>
        <w:ind w:left="1020" w:hanging="360"/>
      </w:pPr>
    </w:lvl>
  </w:abstractNum>
  <w:abstractNum w:abstractNumId="31" w15:restartNumberingAfterBreak="0">
    <w:nsid w:val="7C8971A2"/>
    <w:multiLevelType w:val="multilevel"/>
    <w:tmpl w:val="48E2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A5D58"/>
    <w:multiLevelType w:val="hybridMultilevel"/>
    <w:tmpl w:val="842062F6"/>
    <w:lvl w:ilvl="0" w:tplc="DB6661A0">
      <w:start w:val="1"/>
      <w:numFmt w:val="decimal"/>
      <w:lvlText w:val="%1)"/>
      <w:lvlJc w:val="left"/>
      <w:pPr>
        <w:ind w:left="720" w:hanging="360"/>
      </w:pPr>
    </w:lvl>
    <w:lvl w:ilvl="1" w:tplc="C2469096">
      <w:start w:val="1"/>
      <w:numFmt w:val="decimal"/>
      <w:lvlText w:val="%2)"/>
      <w:lvlJc w:val="left"/>
      <w:pPr>
        <w:ind w:left="720" w:hanging="360"/>
      </w:pPr>
    </w:lvl>
    <w:lvl w:ilvl="2" w:tplc="5C9C6474">
      <w:start w:val="1"/>
      <w:numFmt w:val="decimal"/>
      <w:lvlText w:val="%3)"/>
      <w:lvlJc w:val="left"/>
      <w:pPr>
        <w:ind w:left="720" w:hanging="360"/>
      </w:pPr>
    </w:lvl>
    <w:lvl w:ilvl="3" w:tplc="0A5EFCE0">
      <w:start w:val="1"/>
      <w:numFmt w:val="decimal"/>
      <w:lvlText w:val="%4)"/>
      <w:lvlJc w:val="left"/>
      <w:pPr>
        <w:ind w:left="720" w:hanging="360"/>
      </w:pPr>
    </w:lvl>
    <w:lvl w:ilvl="4" w:tplc="BAB8C2AA">
      <w:start w:val="1"/>
      <w:numFmt w:val="decimal"/>
      <w:lvlText w:val="%5)"/>
      <w:lvlJc w:val="left"/>
      <w:pPr>
        <w:ind w:left="720" w:hanging="360"/>
      </w:pPr>
    </w:lvl>
    <w:lvl w:ilvl="5" w:tplc="9D1014B8">
      <w:start w:val="1"/>
      <w:numFmt w:val="decimal"/>
      <w:lvlText w:val="%6)"/>
      <w:lvlJc w:val="left"/>
      <w:pPr>
        <w:ind w:left="720" w:hanging="360"/>
      </w:pPr>
    </w:lvl>
    <w:lvl w:ilvl="6" w:tplc="55808008">
      <w:start w:val="1"/>
      <w:numFmt w:val="decimal"/>
      <w:lvlText w:val="%7)"/>
      <w:lvlJc w:val="left"/>
      <w:pPr>
        <w:ind w:left="720" w:hanging="360"/>
      </w:pPr>
    </w:lvl>
    <w:lvl w:ilvl="7" w:tplc="3DC41D36">
      <w:start w:val="1"/>
      <w:numFmt w:val="decimal"/>
      <w:lvlText w:val="%8)"/>
      <w:lvlJc w:val="left"/>
      <w:pPr>
        <w:ind w:left="720" w:hanging="360"/>
      </w:pPr>
    </w:lvl>
    <w:lvl w:ilvl="8" w:tplc="25B60F56">
      <w:start w:val="1"/>
      <w:numFmt w:val="decimal"/>
      <w:lvlText w:val="%9)"/>
      <w:lvlJc w:val="left"/>
      <w:pPr>
        <w:ind w:left="720" w:hanging="360"/>
      </w:pPr>
    </w:lvl>
  </w:abstractNum>
  <w:num w:numId="1" w16cid:durableId="1110783185">
    <w:abstractNumId w:val="13"/>
  </w:num>
  <w:num w:numId="2" w16cid:durableId="1695156323">
    <w:abstractNumId w:val="0"/>
  </w:num>
  <w:num w:numId="3" w16cid:durableId="1811753211">
    <w:abstractNumId w:val="3"/>
  </w:num>
  <w:num w:numId="4" w16cid:durableId="377976295">
    <w:abstractNumId w:val="25"/>
  </w:num>
  <w:num w:numId="5" w16cid:durableId="1125924340">
    <w:abstractNumId w:val="11"/>
  </w:num>
  <w:num w:numId="6" w16cid:durableId="1615597036">
    <w:abstractNumId w:val="18"/>
  </w:num>
  <w:num w:numId="7" w16cid:durableId="2085256497">
    <w:abstractNumId w:val="2"/>
  </w:num>
  <w:num w:numId="8" w16cid:durableId="952781769">
    <w:abstractNumId w:val="6"/>
  </w:num>
  <w:num w:numId="9" w16cid:durableId="1221408260">
    <w:abstractNumId w:val="15"/>
  </w:num>
  <w:num w:numId="10" w16cid:durableId="171385441">
    <w:abstractNumId w:val="20"/>
  </w:num>
  <w:num w:numId="11" w16cid:durableId="878516016">
    <w:abstractNumId w:val="19"/>
  </w:num>
  <w:num w:numId="12" w16cid:durableId="427971394">
    <w:abstractNumId w:val="24"/>
  </w:num>
  <w:num w:numId="13" w16cid:durableId="1700931510">
    <w:abstractNumId w:val="21"/>
  </w:num>
  <w:num w:numId="14" w16cid:durableId="1432432272">
    <w:abstractNumId w:val="17"/>
  </w:num>
  <w:num w:numId="15" w16cid:durableId="1819376958">
    <w:abstractNumId w:val="29"/>
  </w:num>
  <w:num w:numId="16" w16cid:durableId="833767913">
    <w:abstractNumId w:val="1"/>
  </w:num>
  <w:num w:numId="17" w16cid:durableId="463306731">
    <w:abstractNumId w:val="8"/>
  </w:num>
  <w:num w:numId="18" w16cid:durableId="1896308140">
    <w:abstractNumId w:val="9"/>
  </w:num>
  <w:num w:numId="19" w16cid:durableId="1755085279">
    <w:abstractNumId w:val="7"/>
  </w:num>
  <w:num w:numId="20" w16cid:durableId="1463306843">
    <w:abstractNumId w:val="28"/>
  </w:num>
  <w:num w:numId="21" w16cid:durableId="285085784">
    <w:abstractNumId w:val="12"/>
  </w:num>
  <w:num w:numId="22" w16cid:durableId="598490002">
    <w:abstractNumId w:val="23"/>
  </w:num>
  <w:num w:numId="23" w16cid:durableId="2121795180">
    <w:abstractNumId w:val="27"/>
  </w:num>
  <w:num w:numId="24" w16cid:durableId="1169128668">
    <w:abstractNumId w:val="30"/>
  </w:num>
  <w:num w:numId="25" w16cid:durableId="2027562299">
    <w:abstractNumId w:val="4"/>
  </w:num>
  <w:num w:numId="26" w16cid:durableId="1776826235">
    <w:abstractNumId w:val="32"/>
  </w:num>
  <w:num w:numId="27" w16cid:durableId="272253329">
    <w:abstractNumId w:val="26"/>
  </w:num>
  <w:num w:numId="28" w16cid:durableId="546111970">
    <w:abstractNumId w:val="14"/>
  </w:num>
  <w:num w:numId="29" w16cid:durableId="1113667827">
    <w:abstractNumId w:val="16"/>
  </w:num>
  <w:num w:numId="30" w16cid:durableId="89787055">
    <w:abstractNumId w:val="10"/>
  </w:num>
  <w:num w:numId="31" w16cid:durableId="646085190">
    <w:abstractNumId w:val="5"/>
  </w:num>
  <w:num w:numId="32" w16cid:durableId="1445929683">
    <w:abstractNumId w:val="31"/>
  </w:num>
  <w:num w:numId="33" w16cid:durableId="1140459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14"/>
    <w:rsid w:val="00001545"/>
    <w:rsid w:val="00006414"/>
    <w:rsid w:val="00016A9F"/>
    <w:rsid w:val="00026FBC"/>
    <w:rsid w:val="00033A97"/>
    <w:rsid w:val="000654AE"/>
    <w:rsid w:val="00082CA4"/>
    <w:rsid w:val="000B4744"/>
    <w:rsid w:val="000D7039"/>
    <w:rsid w:val="00107770"/>
    <w:rsid w:val="00127E58"/>
    <w:rsid w:val="00170EAA"/>
    <w:rsid w:val="00174B62"/>
    <w:rsid w:val="00180473"/>
    <w:rsid w:val="00195298"/>
    <w:rsid w:val="001A5517"/>
    <w:rsid w:val="001B2F21"/>
    <w:rsid w:val="001C11C2"/>
    <w:rsid w:val="001D4202"/>
    <w:rsid w:val="001F3836"/>
    <w:rsid w:val="001F740D"/>
    <w:rsid w:val="001F7A2C"/>
    <w:rsid w:val="002458D8"/>
    <w:rsid w:val="00252C43"/>
    <w:rsid w:val="00260AB0"/>
    <w:rsid w:val="00276584"/>
    <w:rsid w:val="00276A03"/>
    <w:rsid w:val="00277F7A"/>
    <w:rsid w:val="00296D45"/>
    <w:rsid w:val="002A174E"/>
    <w:rsid w:val="002E004E"/>
    <w:rsid w:val="003077F5"/>
    <w:rsid w:val="003160DD"/>
    <w:rsid w:val="00335568"/>
    <w:rsid w:val="00335621"/>
    <w:rsid w:val="0035548A"/>
    <w:rsid w:val="003675D2"/>
    <w:rsid w:val="00386EE1"/>
    <w:rsid w:val="00387D4B"/>
    <w:rsid w:val="003A0F2E"/>
    <w:rsid w:val="003C322E"/>
    <w:rsid w:val="003C4D2B"/>
    <w:rsid w:val="003C7E4D"/>
    <w:rsid w:val="003D3EDE"/>
    <w:rsid w:val="003D4858"/>
    <w:rsid w:val="003D69DC"/>
    <w:rsid w:val="003D77C9"/>
    <w:rsid w:val="003F1B13"/>
    <w:rsid w:val="00414DAE"/>
    <w:rsid w:val="004211EF"/>
    <w:rsid w:val="00460E61"/>
    <w:rsid w:val="00496171"/>
    <w:rsid w:val="004A685F"/>
    <w:rsid w:val="004B1E7E"/>
    <w:rsid w:val="004B502B"/>
    <w:rsid w:val="004E2049"/>
    <w:rsid w:val="004F0724"/>
    <w:rsid w:val="00521345"/>
    <w:rsid w:val="00521515"/>
    <w:rsid w:val="0054476A"/>
    <w:rsid w:val="0056771A"/>
    <w:rsid w:val="005773C0"/>
    <w:rsid w:val="005928E5"/>
    <w:rsid w:val="005A5104"/>
    <w:rsid w:val="005A58AF"/>
    <w:rsid w:val="005E0A14"/>
    <w:rsid w:val="005E30E4"/>
    <w:rsid w:val="005E6920"/>
    <w:rsid w:val="005E7A39"/>
    <w:rsid w:val="005F3962"/>
    <w:rsid w:val="005F3A5E"/>
    <w:rsid w:val="00602FD3"/>
    <w:rsid w:val="006037EE"/>
    <w:rsid w:val="00603E5C"/>
    <w:rsid w:val="00605D3D"/>
    <w:rsid w:val="0060699F"/>
    <w:rsid w:val="00610A43"/>
    <w:rsid w:val="00631FC2"/>
    <w:rsid w:val="006519BF"/>
    <w:rsid w:val="00670560"/>
    <w:rsid w:val="00672612"/>
    <w:rsid w:val="006771CC"/>
    <w:rsid w:val="006828CE"/>
    <w:rsid w:val="006A37FF"/>
    <w:rsid w:val="006B78C6"/>
    <w:rsid w:val="006C6282"/>
    <w:rsid w:val="006D20B3"/>
    <w:rsid w:val="006E6BBD"/>
    <w:rsid w:val="006F0F68"/>
    <w:rsid w:val="006F1779"/>
    <w:rsid w:val="00703521"/>
    <w:rsid w:val="0070363B"/>
    <w:rsid w:val="00706AC8"/>
    <w:rsid w:val="007207FF"/>
    <w:rsid w:val="00723A5C"/>
    <w:rsid w:val="00731E27"/>
    <w:rsid w:val="00741A3B"/>
    <w:rsid w:val="00745783"/>
    <w:rsid w:val="00750557"/>
    <w:rsid w:val="00764AED"/>
    <w:rsid w:val="00783D15"/>
    <w:rsid w:val="00794F7A"/>
    <w:rsid w:val="007D1641"/>
    <w:rsid w:val="007D39E1"/>
    <w:rsid w:val="007D46D4"/>
    <w:rsid w:val="007E47F3"/>
    <w:rsid w:val="007F299E"/>
    <w:rsid w:val="00805463"/>
    <w:rsid w:val="00813490"/>
    <w:rsid w:val="00814271"/>
    <w:rsid w:val="0082754B"/>
    <w:rsid w:val="008308D9"/>
    <w:rsid w:val="00852F17"/>
    <w:rsid w:val="0087097A"/>
    <w:rsid w:val="00893E73"/>
    <w:rsid w:val="008A19AF"/>
    <w:rsid w:val="008B244C"/>
    <w:rsid w:val="008C73CC"/>
    <w:rsid w:val="008E2996"/>
    <w:rsid w:val="008F6A37"/>
    <w:rsid w:val="00905C26"/>
    <w:rsid w:val="00937F3B"/>
    <w:rsid w:val="00953AA2"/>
    <w:rsid w:val="0096008D"/>
    <w:rsid w:val="00975871"/>
    <w:rsid w:val="00983174"/>
    <w:rsid w:val="009956EC"/>
    <w:rsid w:val="009A3444"/>
    <w:rsid w:val="009A7E03"/>
    <w:rsid w:val="009C1D87"/>
    <w:rsid w:val="009C4795"/>
    <w:rsid w:val="009C48EE"/>
    <w:rsid w:val="009F2221"/>
    <w:rsid w:val="009F276B"/>
    <w:rsid w:val="009F3B73"/>
    <w:rsid w:val="00A0754B"/>
    <w:rsid w:val="00A103F2"/>
    <w:rsid w:val="00A225A3"/>
    <w:rsid w:val="00A2659D"/>
    <w:rsid w:val="00A31A4B"/>
    <w:rsid w:val="00A32E6C"/>
    <w:rsid w:val="00A35642"/>
    <w:rsid w:val="00A76CB2"/>
    <w:rsid w:val="00A81BB5"/>
    <w:rsid w:val="00A851A8"/>
    <w:rsid w:val="00A85280"/>
    <w:rsid w:val="00A85636"/>
    <w:rsid w:val="00AA065D"/>
    <w:rsid w:val="00AB68BA"/>
    <w:rsid w:val="00AB789E"/>
    <w:rsid w:val="00AC2370"/>
    <w:rsid w:val="00AC31BB"/>
    <w:rsid w:val="00AD2D6A"/>
    <w:rsid w:val="00AE7DFA"/>
    <w:rsid w:val="00B072E4"/>
    <w:rsid w:val="00B13501"/>
    <w:rsid w:val="00B37696"/>
    <w:rsid w:val="00B636F0"/>
    <w:rsid w:val="00B65783"/>
    <w:rsid w:val="00B77C05"/>
    <w:rsid w:val="00B80112"/>
    <w:rsid w:val="00B86D08"/>
    <w:rsid w:val="00BB6ADE"/>
    <w:rsid w:val="00BE28B0"/>
    <w:rsid w:val="00C17133"/>
    <w:rsid w:val="00C41A18"/>
    <w:rsid w:val="00C72B22"/>
    <w:rsid w:val="00C969F0"/>
    <w:rsid w:val="00CE0C3D"/>
    <w:rsid w:val="00D065FE"/>
    <w:rsid w:val="00D572E1"/>
    <w:rsid w:val="00D769A0"/>
    <w:rsid w:val="00D81DC5"/>
    <w:rsid w:val="00D94AC5"/>
    <w:rsid w:val="00DC4261"/>
    <w:rsid w:val="00DD4542"/>
    <w:rsid w:val="00DE38AA"/>
    <w:rsid w:val="00E06183"/>
    <w:rsid w:val="00E16DF6"/>
    <w:rsid w:val="00E2061C"/>
    <w:rsid w:val="00E25D94"/>
    <w:rsid w:val="00E32D78"/>
    <w:rsid w:val="00E43273"/>
    <w:rsid w:val="00E4504B"/>
    <w:rsid w:val="00E50ABC"/>
    <w:rsid w:val="00E660B3"/>
    <w:rsid w:val="00E8106B"/>
    <w:rsid w:val="00EB36BD"/>
    <w:rsid w:val="00EB6CF2"/>
    <w:rsid w:val="00F028F6"/>
    <w:rsid w:val="00F0753B"/>
    <w:rsid w:val="00F476F7"/>
    <w:rsid w:val="00F50D09"/>
    <w:rsid w:val="00F543BC"/>
    <w:rsid w:val="00F563CD"/>
    <w:rsid w:val="00F847CD"/>
    <w:rsid w:val="00F9213B"/>
    <w:rsid w:val="00F929E8"/>
    <w:rsid w:val="00FC345C"/>
    <w:rsid w:val="00FE42C1"/>
    <w:rsid w:val="00FF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7C3E"/>
  <w15:chartTrackingRefBased/>
  <w15:docId w15:val="{E9F23926-A761-45F6-B80F-6A87F9C6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AE"/>
    <w:rPr>
      <w:sz w:val="24"/>
      <w:szCs w:val="24"/>
    </w:rPr>
  </w:style>
  <w:style w:type="paragraph" w:styleId="Heading1">
    <w:name w:val="heading 1"/>
    <w:basedOn w:val="Normal"/>
    <w:next w:val="Normal"/>
    <w:link w:val="Heading1Char"/>
    <w:uiPriority w:val="9"/>
    <w:qFormat/>
    <w:rsid w:val="00414DA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14DA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14DA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14DA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14DA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14DA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14DAE"/>
    <w:pPr>
      <w:spacing w:before="240" w:after="60"/>
      <w:outlineLvl w:val="6"/>
    </w:pPr>
  </w:style>
  <w:style w:type="paragraph" w:styleId="Heading8">
    <w:name w:val="heading 8"/>
    <w:basedOn w:val="Normal"/>
    <w:next w:val="Normal"/>
    <w:link w:val="Heading8Char"/>
    <w:uiPriority w:val="9"/>
    <w:semiHidden/>
    <w:unhideWhenUsed/>
    <w:qFormat/>
    <w:rsid w:val="00414DAE"/>
    <w:pPr>
      <w:spacing w:before="240" w:after="60"/>
      <w:outlineLvl w:val="7"/>
    </w:pPr>
    <w:rPr>
      <w:i/>
      <w:iCs/>
    </w:rPr>
  </w:style>
  <w:style w:type="paragraph" w:styleId="Heading9">
    <w:name w:val="heading 9"/>
    <w:basedOn w:val="Normal"/>
    <w:next w:val="Normal"/>
    <w:link w:val="Heading9Char"/>
    <w:uiPriority w:val="9"/>
    <w:semiHidden/>
    <w:unhideWhenUsed/>
    <w:qFormat/>
    <w:rsid w:val="00414DA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DA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14D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14D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14DAE"/>
    <w:rPr>
      <w:b/>
      <w:bCs/>
      <w:sz w:val="28"/>
      <w:szCs w:val="28"/>
    </w:rPr>
  </w:style>
  <w:style w:type="character" w:customStyle="1" w:styleId="Heading5Char">
    <w:name w:val="Heading 5 Char"/>
    <w:basedOn w:val="DefaultParagraphFont"/>
    <w:link w:val="Heading5"/>
    <w:uiPriority w:val="9"/>
    <w:semiHidden/>
    <w:rsid w:val="00414DAE"/>
    <w:rPr>
      <w:b/>
      <w:bCs/>
      <w:i/>
      <w:iCs/>
      <w:sz w:val="26"/>
      <w:szCs w:val="26"/>
    </w:rPr>
  </w:style>
  <w:style w:type="character" w:customStyle="1" w:styleId="Heading6Char">
    <w:name w:val="Heading 6 Char"/>
    <w:basedOn w:val="DefaultParagraphFont"/>
    <w:link w:val="Heading6"/>
    <w:uiPriority w:val="9"/>
    <w:semiHidden/>
    <w:rsid w:val="00414DAE"/>
    <w:rPr>
      <w:b/>
      <w:bCs/>
    </w:rPr>
  </w:style>
  <w:style w:type="character" w:customStyle="1" w:styleId="Heading7Char">
    <w:name w:val="Heading 7 Char"/>
    <w:basedOn w:val="DefaultParagraphFont"/>
    <w:link w:val="Heading7"/>
    <w:uiPriority w:val="9"/>
    <w:semiHidden/>
    <w:rsid w:val="00414DAE"/>
    <w:rPr>
      <w:sz w:val="24"/>
      <w:szCs w:val="24"/>
    </w:rPr>
  </w:style>
  <w:style w:type="character" w:customStyle="1" w:styleId="Heading8Char">
    <w:name w:val="Heading 8 Char"/>
    <w:basedOn w:val="DefaultParagraphFont"/>
    <w:link w:val="Heading8"/>
    <w:uiPriority w:val="9"/>
    <w:semiHidden/>
    <w:rsid w:val="00414DAE"/>
    <w:rPr>
      <w:i/>
      <w:iCs/>
      <w:sz w:val="24"/>
      <w:szCs w:val="24"/>
    </w:rPr>
  </w:style>
  <w:style w:type="character" w:customStyle="1" w:styleId="Heading9Char">
    <w:name w:val="Heading 9 Char"/>
    <w:basedOn w:val="DefaultParagraphFont"/>
    <w:link w:val="Heading9"/>
    <w:uiPriority w:val="9"/>
    <w:semiHidden/>
    <w:rsid w:val="00414DAE"/>
    <w:rPr>
      <w:rFonts w:asciiTheme="majorHAnsi" w:eastAsiaTheme="majorEastAsia" w:hAnsiTheme="majorHAnsi"/>
    </w:rPr>
  </w:style>
  <w:style w:type="paragraph" w:styleId="Title">
    <w:name w:val="Title"/>
    <w:basedOn w:val="Normal"/>
    <w:next w:val="Normal"/>
    <w:link w:val="TitleChar"/>
    <w:uiPriority w:val="10"/>
    <w:qFormat/>
    <w:rsid w:val="00414D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14D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14D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14DAE"/>
    <w:rPr>
      <w:rFonts w:asciiTheme="majorHAnsi" w:eastAsiaTheme="majorEastAsia" w:hAnsiTheme="majorHAnsi"/>
      <w:sz w:val="24"/>
      <w:szCs w:val="24"/>
    </w:rPr>
  </w:style>
  <w:style w:type="character" w:styleId="Strong">
    <w:name w:val="Strong"/>
    <w:basedOn w:val="DefaultParagraphFont"/>
    <w:uiPriority w:val="22"/>
    <w:qFormat/>
    <w:rsid w:val="00414DAE"/>
    <w:rPr>
      <w:b/>
      <w:bCs/>
    </w:rPr>
  </w:style>
  <w:style w:type="character" w:styleId="Emphasis">
    <w:name w:val="Emphasis"/>
    <w:basedOn w:val="DefaultParagraphFont"/>
    <w:uiPriority w:val="20"/>
    <w:qFormat/>
    <w:rsid w:val="00414DAE"/>
    <w:rPr>
      <w:rFonts w:asciiTheme="minorHAnsi" w:hAnsiTheme="minorHAnsi"/>
      <w:b/>
      <w:i/>
      <w:iCs/>
    </w:rPr>
  </w:style>
  <w:style w:type="paragraph" w:styleId="NoSpacing">
    <w:name w:val="No Spacing"/>
    <w:basedOn w:val="Normal"/>
    <w:uiPriority w:val="1"/>
    <w:qFormat/>
    <w:rsid w:val="00414DAE"/>
    <w:rPr>
      <w:szCs w:val="32"/>
    </w:rPr>
  </w:style>
  <w:style w:type="paragraph" w:styleId="ListParagraph">
    <w:name w:val="List Paragraph"/>
    <w:basedOn w:val="Normal"/>
    <w:uiPriority w:val="34"/>
    <w:qFormat/>
    <w:rsid w:val="00414DAE"/>
    <w:pPr>
      <w:ind w:left="720"/>
      <w:contextualSpacing/>
    </w:pPr>
  </w:style>
  <w:style w:type="paragraph" w:styleId="Quote">
    <w:name w:val="Quote"/>
    <w:basedOn w:val="Normal"/>
    <w:next w:val="Normal"/>
    <w:link w:val="QuoteChar"/>
    <w:uiPriority w:val="29"/>
    <w:qFormat/>
    <w:rsid w:val="00414DAE"/>
    <w:rPr>
      <w:i/>
    </w:rPr>
  </w:style>
  <w:style w:type="character" w:customStyle="1" w:styleId="QuoteChar">
    <w:name w:val="Quote Char"/>
    <w:basedOn w:val="DefaultParagraphFont"/>
    <w:link w:val="Quote"/>
    <w:uiPriority w:val="29"/>
    <w:rsid w:val="00414DAE"/>
    <w:rPr>
      <w:i/>
      <w:sz w:val="24"/>
      <w:szCs w:val="24"/>
    </w:rPr>
  </w:style>
  <w:style w:type="paragraph" w:styleId="IntenseQuote">
    <w:name w:val="Intense Quote"/>
    <w:basedOn w:val="Normal"/>
    <w:next w:val="Normal"/>
    <w:link w:val="IntenseQuoteChar"/>
    <w:uiPriority w:val="30"/>
    <w:qFormat/>
    <w:rsid w:val="00414DAE"/>
    <w:pPr>
      <w:ind w:left="720" w:right="720"/>
    </w:pPr>
    <w:rPr>
      <w:b/>
      <w:i/>
      <w:szCs w:val="22"/>
    </w:rPr>
  </w:style>
  <w:style w:type="character" w:customStyle="1" w:styleId="IntenseQuoteChar">
    <w:name w:val="Intense Quote Char"/>
    <w:basedOn w:val="DefaultParagraphFont"/>
    <w:link w:val="IntenseQuote"/>
    <w:uiPriority w:val="30"/>
    <w:rsid w:val="00414DAE"/>
    <w:rPr>
      <w:b/>
      <w:i/>
      <w:sz w:val="24"/>
    </w:rPr>
  </w:style>
  <w:style w:type="character" w:styleId="SubtleEmphasis">
    <w:name w:val="Subtle Emphasis"/>
    <w:uiPriority w:val="19"/>
    <w:qFormat/>
    <w:rsid w:val="00414DAE"/>
    <w:rPr>
      <w:i/>
      <w:color w:val="5A5A5A" w:themeColor="text1" w:themeTint="A5"/>
    </w:rPr>
  </w:style>
  <w:style w:type="character" w:styleId="IntenseEmphasis">
    <w:name w:val="Intense Emphasis"/>
    <w:basedOn w:val="DefaultParagraphFont"/>
    <w:uiPriority w:val="21"/>
    <w:qFormat/>
    <w:rsid w:val="00414DAE"/>
    <w:rPr>
      <w:b/>
      <w:i/>
      <w:sz w:val="24"/>
      <w:szCs w:val="24"/>
      <w:u w:val="single"/>
    </w:rPr>
  </w:style>
  <w:style w:type="character" w:styleId="SubtleReference">
    <w:name w:val="Subtle Reference"/>
    <w:basedOn w:val="DefaultParagraphFont"/>
    <w:uiPriority w:val="31"/>
    <w:qFormat/>
    <w:rsid w:val="00414DAE"/>
    <w:rPr>
      <w:sz w:val="24"/>
      <w:szCs w:val="24"/>
      <w:u w:val="single"/>
    </w:rPr>
  </w:style>
  <w:style w:type="character" w:styleId="IntenseReference">
    <w:name w:val="Intense Reference"/>
    <w:basedOn w:val="DefaultParagraphFont"/>
    <w:uiPriority w:val="32"/>
    <w:qFormat/>
    <w:rsid w:val="00414DAE"/>
    <w:rPr>
      <w:b/>
      <w:sz w:val="24"/>
      <w:u w:val="single"/>
    </w:rPr>
  </w:style>
  <w:style w:type="character" w:styleId="BookTitle">
    <w:name w:val="Book Title"/>
    <w:basedOn w:val="DefaultParagraphFont"/>
    <w:uiPriority w:val="33"/>
    <w:qFormat/>
    <w:rsid w:val="00414D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14DAE"/>
    <w:pPr>
      <w:outlineLvl w:val="9"/>
    </w:pPr>
  </w:style>
  <w:style w:type="character" w:styleId="CommentReference">
    <w:name w:val="annotation reference"/>
    <w:basedOn w:val="DefaultParagraphFont"/>
    <w:uiPriority w:val="99"/>
    <w:semiHidden/>
    <w:unhideWhenUsed/>
    <w:rsid w:val="00E43273"/>
    <w:rPr>
      <w:sz w:val="16"/>
      <w:szCs w:val="16"/>
    </w:rPr>
  </w:style>
  <w:style w:type="paragraph" w:styleId="CommentText">
    <w:name w:val="annotation text"/>
    <w:basedOn w:val="Normal"/>
    <w:link w:val="CommentTextChar"/>
    <w:uiPriority w:val="99"/>
    <w:unhideWhenUsed/>
    <w:rsid w:val="00E43273"/>
    <w:rPr>
      <w:sz w:val="20"/>
      <w:szCs w:val="20"/>
    </w:rPr>
  </w:style>
  <w:style w:type="character" w:customStyle="1" w:styleId="CommentTextChar">
    <w:name w:val="Comment Text Char"/>
    <w:basedOn w:val="DefaultParagraphFont"/>
    <w:link w:val="CommentText"/>
    <w:uiPriority w:val="99"/>
    <w:rsid w:val="00E43273"/>
    <w:rPr>
      <w:sz w:val="20"/>
      <w:szCs w:val="20"/>
    </w:rPr>
  </w:style>
  <w:style w:type="paragraph" w:styleId="CommentSubject">
    <w:name w:val="annotation subject"/>
    <w:basedOn w:val="CommentText"/>
    <w:next w:val="CommentText"/>
    <w:link w:val="CommentSubjectChar"/>
    <w:uiPriority w:val="99"/>
    <w:semiHidden/>
    <w:unhideWhenUsed/>
    <w:rsid w:val="00E43273"/>
    <w:rPr>
      <w:b/>
      <w:bCs/>
    </w:rPr>
  </w:style>
  <w:style w:type="character" w:customStyle="1" w:styleId="CommentSubjectChar">
    <w:name w:val="Comment Subject Char"/>
    <w:basedOn w:val="CommentTextChar"/>
    <w:link w:val="CommentSubject"/>
    <w:uiPriority w:val="99"/>
    <w:semiHidden/>
    <w:rsid w:val="00E43273"/>
    <w:rPr>
      <w:b/>
      <w:bCs/>
      <w:sz w:val="20"/>
      <w:szCs w:val="20"/>
    </w:rPr>
  </w:style>
  <w:style w:type="character" w:styleId="Hyperlink">
    <w:name w:val="Hyperlink"/>
    <w:basedOn w:val="DefaultParagraphFont"/>
    <w:uiPriority w:val="99"/>
    <w:unhideWhenUsed/>
    <w:rsid w:val="00814271"/>
    <w:rPr>
      <w:color w:val="467886" w:themeColor="hyperlink"/>
      <w:u w:val="single"/>
    </w:rPr>
  </w:style>
  <w:style w:type="character" w:styleId="UnresolvedMention">
    <w:name w:val="Unresolved Mention"/>
    <w:basedOn w:val="DefaultParagraphFont"/>
    <w:uiPriority w:val="99"/>
    <w:semiHidden/>
    <w:unhideWhenUsed/>
    <w:rsid w:val="00814271"/>
    <w:rPr>
      <w:color w:val="605E5C"/>
      <w:shd w:val="clear" w:color="auto" w:fill="E1DFDD"/>
    </w:rPr>
  </w:style>
  <w:style w:type="paragraph" w:styleId="Revision">
    <w:name w:val="Revision"/>
    <w:hidden/>
    <w:uiPriority w:val="99"/>
    <w:semiHidden/>
    <w:rsid w:val="00CE0C3D"/>
    <w:rPr>
      <w:sz w:val="24"/>
      <w:szCs w:val="24"/>
    </w:rPr>
  </w:style>
  <w:style w:type="table" w:styleId="TableGrid">
    <w:name w:val="Table Grid"/>
    <w:basedOn w:val="TableNormal"/>
    <w:uiPriority w:val="39"/>
    <w:rsid w:val="00F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744"/>
    <w:pPr>
      <w:tabs>
        <w:tab w:val="center" w:pos="4513"/>
        <w:tab w:val="right" w:pos="9026"/>
      </w:tabs>
    </w:pPr>
  </w:style>
  <w:style w:type="character" w:customStyle="1" w:styleId="HeaderChar">
    <w:name w:val="Header Char"/>
    <w:basedOn w:val="DefaultParagraphFont"/>
    <w:link w:val="Header"/>
    <w:uiPriority w:val="99"/>
    <w:rsid w:val="000B4744"/>
    <w:rPr>
      <w:sz w:val="24"/>
      <w:szCs w:val="24"/>
    </w:rPr>
  </w:style>
  <w:style w:type="paragraph" w:styleId="Footer">
    <w:name w:val="footer"/>
    <w:basedOn w:val="Normal"/>
    <w:link w:val="FooterChar"/>
    <w:uiPriority w:val="99"/>
    <w:unhideWhenUsed/>
    <w:rsid w:val="000B4744"/>
    <w:pPr>
      <w:tabs>
        <w:tab w:val="center" w:pos="4513"/>
        <w:tab w:val="right" w:pos="9026"/>
      </w:tabs>
    </w:pPr>
  </w:style>
  <w:style w:type="character" w:customStyle="1" w:styleId="FooterChar">
    <w:name w:val="Footer Char"/>
    <w:basedOn w:val="DefaultParagraphFont"/>
    <w:link w:val="Footer"/>
    <w:uiPriority w:val="99"/>
    <w:rsid w:val="000B4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0160">
      <w:bodyDiv w:val="1"/>
      <w:marLeft w:val="0"/>
      <w:marRight w:val="0"/>
      <w:marTop w:val="0"/>
      <w:marBottom w:val="0"/>
      <w:divBdr>
        <w:top w:val="none" w:sz="0" w:space="0" w:color="auto"/>
        <w:left w:val="none" w:sz="0" w:space="0" w:color="auto"/>
        <w:bottom w:val="none" w:sz="0" w:space="0" w:color="auto"/>
        <w:right w:val="none" w:sz="0" w:space="0" w:color="auto"/>
      </w:divBdr>
    </w:div>
    <w:div w:id="96213638">
      <w:bodyDiv w:val="1"/>
      <w:marLeft w:val="0"/>
      <w:marRight w:val="0"/>
      <w:marTop w:val="0"/>
      <w:marBottom w:val="0"/>
      <w:divBdr>
        <w:top w:val="none" w:sz="0" w:space="0" w:color="auto"/>
        <w:left w:val="none" w:sz="0" w:space="0" w:color="auto"/>
        <w:bottom w:val="none" w:sz="0" w:space="0" w:color="auto"/>
        <w:right w:val="none" w:sz="0" w:space="0" w:color="auto"/>
      </w:divBdr>
    </w:div>
    <w:div w:id="206378813">
      <w:bodyDiv w:val="1"/>
      <w:marLeft w:val="0"/>
      <w:marRight w:val="0"/>
      <w:marTop w:val="0"/>
      <w:marBottom w:val="0"/>
      <w:divBdr>
        <w:top w:val="none" w:sz="0" w:space="0" w:color="auto"/>
        <w:left w:val="none" w:sz="0" w:space="0" w:color="auto"/>
        <w:bottom w:val="none" w:sz="0" w:space="0" w:color="auto"/>
        <w:right w:val="none" w:sz="0" w:space="0" w:color="auto"/>
      </w:divBdr>
    </w:div>
    <w:div w:id="426539488">
      <w:bodyDiv w:val="1"/>
      <w:marLeft w:val="0"/>
      <w:marRight w:val="0"/>
      <w:marTop w:val="0"/>
      <w:marBottom w:val="0"/>
      <w:divBdr>
        <w:top w:val="none" w:sz="0" w:space="0" w:color="auto"/>
        <w:left w:val="none" w:sz="0" w:space="0" w:color="auto"/>
        <w:bottom w:val="none" w:sz="0" w:space="0" w:color="auto"/>
        <w:right w:val="none" w:sz="0" w:space="0" w:color="auto"/>
      </w:divBdr>
    </w:div>
    <w:div w:id="452020097">
      <w:bodyDiv w:val="1"/>
      <w:marLeft w:val="0"/>
      <w:marRight w:val="0"/>
      <w:marTop w:val="0"/>
      <w:marBottom w:val="0"/>
      <w:divBdr>
        <w:top w:val="none" w:sz="0" w:space="0" w:color="auto"/>
        <w:left w:val="none" w:sz="0" w:space="0" w:color="auto"/>
        <w:bottom w:val="none" w:sz="0" w:space="0" w:color="auto"/>
        <w:right w:val="none" w:sz="0" w:space="0" w:color="auto"/>
      </w:divBdr>
    </w:div>
    <w:div w:id="485752933">
      <w:bodyDiv w:val="1"/>
      <w:marLeft w:val="0"/>
      <w:marRight w:val="0"/>
      <w:marTop w:val="0"/>
      <w:marBottom w:val="0"/>
      <w:divBdr>
        <w:top w:val="none" w:sz="0" w:space="0" w:color="auto"/>
        <w:left w:val="none" w:sz="0" w:space="0" w:color="auto"/>
        <w:bottom w:val="none" w:sz="0" w:space="0" w:color="auto"/>
        <w:right w:val="none" w:sz="0" w:space="0" w:color="auto"/>
      </w:divBdr>
    </w:div>
    <w:div w:id="564415355">
      <w:bodyDiv w:val="1"/>
      <w:marLeft w:val="0"/>
      <w:marRight w:val="0"/>
      <w:marTop w:val="0"/>
      <w:marBottom w:val="0"/>
      <w:divBdr>
        <w:top w:val="none" w:sz="0" w:space="0" w:color="auto"/>
        <w:left w:val="none" w:sz="0" w:space="0" w:color="auto"/>
        <w:bottom w:val="none" w:sz="0" w:space="0" w:color="auto"/>
        <w:right w:val="none" w:sz="0" w:space="0" w:color="auto"/>
      </w:divBdr>
    </w:div>
    <w:div w:id="603615432">
      <w:bodyDiv w:val="1"/>
      <w:marLeft w:val="0"/>
      <w:marRight w:val="0"/>
      <w:marTop w:val="0"/>
      <w:marBottom w:val="0"/>
      <w:divBdr>
        <w:top w:val="none" w:sz="0" w:space="0" w:color="auto"/>
        <w:left w:val="none" w:sz="0" w:space="0" w:color="auto"/>
        <w:bottom w:val="none" w:sz="0" w:space="0" w:color="auto"/>
        <w:right w:val="none" w:sz="0" w:space="0" w:color="auto"/>
      </w:divBdr>
    </w:div>
    <w:div w:id="637105704">
      <w:bodyDiv w:val="1"/>
      <w:marLeft w:val="0"/>
      <w:marRight w:val="0"/>
      <w:marTop w:val="0"/>
      <w:marBottom w:val="0"/>
      <w:divBdr>
        <w:top w:val="none" w:sz="0" w:space="0" w:color="auto"/>
        <w:left w:val="none" w:sz="0" w:space="0" w:color="auto"/>
        <w:bottom w:val="none" w:sz="0" w:space="0" w:color="auto"/>
        <w:right w:val="none" w:sz="0" w:space="0" w:color="auto"/>
      </w:divBdr>
    </w:div>
    <w:div w:id="807091952">
      <w:bodyDiv w:val="1"/>
      <w:marLeft w:val="0"/>
      <w:marRight w:val="0"/>
      <w:marTop w:val="0"/>
      <w:marBottom w:val="0"/>
      <w:divBdr>
        <w:top w:val="none" w:sz="0" w:space="0" w:color="auto"/>
        <w:left w:val="none" w:sz="0" w:space="0" w:color="auto"/>
        <w:bottom w:val="none" w:sz="0" w:space="0" w:color="auto"/>
        <w:right w:val="none" w:sz="0" w:space="0" w:color="auto"/>
      </w:divBdr>
    </w:div>
    <w:div w:id="813984654">
      <w:bodyDiv w:val="1"/>
      <w:marLeft w:val="0"/>
      <w:marRight w:val="0"/>
      <w:marTop w:val="0"/>
      <w:marBottom w:val="0"/>
      <w:divBdr>
        <w:top w:val="none" w:sz="0" w:space="0" w:color="auto"/>
        <w:left w:val="none" w:sz="0" w:space="0" w:color="auto"/>
        <w:bottom w:val="none" w:sz="0" w:space="0" w:color="auto"/>
        <w:right w:val="none" w:sz="0" w:space="0" w:color="auto"/>
      </w:divBdr>
    </w:div>
    <w:div w:id="892160200">
      <w:bodyDiv w:val="1"/>
      <w:marLeft w:val="0"/>
      <w:marRight w:val="0"/>
      <w:marTop w:val="0"/>
      <w:marBottom w:val="0"/>
      <w:divBdr>
        <w:top w:val="none" w:sz="0" w:space="0" w:color="auto"/>
        <w:left w:val="none" w:sz="0" w:space="0" w:color="auto"/>
        <w:bottom w:val="none" w:sz="0" w:space="0" w:color="auto"/>
        <w:right w:val="none" w:sz="0" w:space="0" w:color="auto"/>
      </w:divBdr>
    </w:div>
    <w:div w:id="918635203">
      <w:bodyDiv w:val="1"/>
      <w:marLeft w:val="0"/>
      <w:marRight w:val="0"/>
      <w:marTop w:val="0"/>
      <w:marBottom w:val="0"/>
      <w:divBdr>
        <w:top w:val="none" w:sz="0" w:space="0" w:color="auto"/>
        <w:left w:val="none" w:sz="0" w:space="0" w:color="auto"/>
        <w:bottom w:val="none" w:sz="0" w:space="0" w:color="auto"/>
        <w:right w:val="none" w:sz="0" w:space="0" w:color="auto"/>
      </w:divBdr>
    </w:div>
    <w:div w:id="929000199">
      <w:bodyDiv w:val="1"/>
      <w:marLeft w:val="0"/>
      <w:marRight w:val="0"/>
      <w:marTop w:val="0"/>
      <w:marBottom w:val="0"/>
      <w:divBdr>
        <w:top w:val="none" w:sz="0" w:space="0" w:color="auto"/>
        <w:left w:val="none" w:sz="0" w:space="0" w:color="auto"/>
        <w:bottom w:val="none" w:sz="0" w:space="0" w:color="auto"/>
        <w:right w:val="none" w:sz="0" w:space="0" w:color="auto"/>
      </w:divBdr>
    </w:div>
    <w:div w:id="930358026">
      <w:bodyDiv w:val="1"/>
      <w:marLeft w:val="0"/>
      <w:marRight w:val="0"/>
      <w:marTop w:val="0"/>
      <w:marBottom w:val="0"/>
      <w:divBdr>
        <w:top w:val="none" w:sz="0" w:space="0" w:color="auto"/>
        <w:left w:val="none" w:sz="0" w:space="0" w:color="auto"/>
        <w:bottom w:val="none" w:sz="0" w:space="0" w:color="auto"/>
        <w:right w:val="none" w:sz="0" w:space="0" w:color="auto"/>
      </w:divBdr>
    </w:div>
    <w:div w:id="946623632">
      <w:bodyDiv w:val="1"/>
      <w:marLeft w:val="0"/>
      <w:marRight w:val="0"/>
      <w:marTop w:val="0"/>
      <w:marBottom w:val="0"/>
      <w:divBdr>
        <w:top w:val="none" w:sz="0" w:space="0" w:color="auto"/>
        <w:left w:val="none" w:sz="0" w:space="0" w:color="auto"/>
        <w:bottom w:val="none" w:sz="0" w:space="0" w:color="auto"/>
        <w:right w:val="none" w:sz="0" w:space="0" w:color="auto"/>
      </w:divBdr>
    </w:div>
    <w:div w:id="975918476">
      <w:bodyDiv w:val="1"/>
      <w:marLeft w:val="0"/>
      <w:marRight w:val="0"/>
      <w:marTop w:val="0"/>
      <w:marBottom w:val="0"/>
      <w:divBdr>
        <w:top w:val="none" w:sz="0" w:space="0" w:color="auto"/>
        <w:left w:val="none" w:sz="0" w:space="0" w:color="auto"/>
        <w:bottom w:val="none" w:sz="0" w:space="0" w:color="auto"/>
        <w:right w:val="none" w:sz="0" w:space="0" w:color="auto"/>
      </w:divBdr>
    </w:div>
    <w:div w:id="977884334">
      <w:bodyDiv w:val="1"/>
      <w:marLeft w:val="0"/>
      <w:marRight w:val="0"/>
      <w:marTop w:val="0"/>
      <w:marBottom w:val="0"/>
      <w:divBdr>
        <w:top w:val="none" w:sz="0" w:space="0" w:color="auto"/>
        <w:left w:val="none" w:sz="0" w:space="0" w:color="auto"/>
        <w:bottom w:val="none" w:sz="0" w:space="0" w:color="auto"/>
        <w:right w:val="none" w:sz="0" w:space="0" w:color="auto"/>
      </w:divBdr>
    </w:div>
    <w:div w:id="985859217">
      <w:bodyDiv w:val="1"/>
      <w:marLeft w:val="0"/>
      <w:marRight w:val="0"/>
      <w:marTop w:val="0"/>
      <w:marBottom w:val="0"/>
      <w:divBdr>
        <w:top w:val="none" w:sz="0" w:space="0" w:color="auto"/>
        <w:left w:val="none" w:sz="0" w:space="0" w:color="auto"/>
        <w:bottom w:val="none" w:sz="0" w:space="0" w:color="auto"/>
        <w:right w:val="none" w:sz="0" w:space="0" w:color="auto"/>
      </w:divBdr>
    </w:div>
    <w:div w:id="1028599151">
      <w:bodyDiv w:val="1"/>
      <w:marLeft w:val="0"/>
      <w:marRight w:val="0"/>
      <w:marTop w:val="0"/>
      <w:marBottom w:val="0"/>
      <w:divBdr>
        <w:top w:val="none" w:sz="0" w:space="0" w:color="auto"/>
        <w:left w:val="none" w:sz="0" w:space="0" w:color="auto"/>
        <w:bottom w:val="none" w:sz="0" w:space="0" w:color="auto"/>
        <w:right w:val="none" w:sz="0" w:space="0" w:color="auto"/>
      </w:divBdr>
    </w:div>
    <w:div w:id="1064722300">
      <w:bodyDiv w:val="1"/>
      <w:marLeft w:val="0"/>
      <w:marRight w:val="0"/>
      <w:marTop w:val="0"/>
      <w:marBottom w:val="0"/>
      <w:divBdr>
        <w:top w:val="none" w:sz="0" w:space="0" w:color="auto"/>
        <w:left w:val="none" w:sz="0" w:space="0" w:color="auto"/>
        <w:bottom w:val="none" w:sz="0" w:space="0" w:color="auto"/>
        <w:right w:val="none" w:sz="0" w:space="0" w:color="auto"/>
      </w:divBdr>
    </w:div>
    <w:div w:id="1141845297">
      <w:bodyDiv w:val="1"/>
      <w:marLeft w:val="0"/>
      <w:marRight w:val="0"/>
      <w:marTop w:val="0"/>
      <w:marBottom w:val="0"/>
      <w:divBdr>
        <w:top w:val="none" w:sz="0" w:space="0" w:color="auto"/>
        <w:left w:val="none" w:sz="0" w:space="0" w:color="auto"/>
        <w:bottom w:val="none" w:sz="0" w:space="0" w:color="auto"/>
        <w:right w:val="none" w:sz="0" w:space="0" w:color="auto"/>
      </w:divBdr>
    </w:div>
    <w:div w:id="1241524839">
      <w:bodyDiv w:val="1"/>
      <w:marLeft w:val="0"/>
      <w:marRight w:val="0"/>
      <w:marTop w:val="0"/>
      <w:marBottom w:val="0"/>
      <w:divBdr>
        <w:top w:val="none" w:sz="0" w:space="0" w:color="auto"/>
        <w:left w:val="none" w:sz="0" w:space="0" w:color="auto"/>
        <w:bottom w:val="none" w:sz="0" w:space="0" w:color="auto"/>
        <w:right w:val="none" w:sz="0" w:space="0" w:color="auto"/>
      </w:divBdr>
    </w:div>
    <w:div w:id="1253977371">
      <w:bodyDiv w:val="1"/>
      <w:marLeft w:val="0"/>
      <w:marRight w:val="0"/>
      <w:marTop w:val="0"/>
      <w:marBottom w:val="0"/>
      <w:divBdr>
        <w:top w:val="none" w:sz="0" w:space="0" w:color="auto"/>
        <w:left w:val="none" w:sz="0" w:space="0" w:color="auto"/>
        <w:bottom w:val="none" w:sz="0" w:space="0" w:color="auto"/>
        <w:right w:val="none" w:sz="0" w:space="0" w:color="auto"/>
      </w:divBdr>
    </w:div>
    <w:div w:id="1262302648">
      <w:bodyDiv w:val="1"/>
      <w:marLeft w:val="0"/>
      <w:marRight w:val="0"/>
      <w:marTop w:val="0"/>
      <w:marBottom w:val="0"/>
      <w:divBdr>
        <w:top w:val="none" w:sz="0" w:space="0" w:color="auto"/>
        <w:left w:val="none" w:sz="0" w:space="0" w:color="auto"/>
        <w:bottom w:val="none" w:sz="0" w:space="0" w:color="auto"/>
        <w:right w:val="none" w:sz="0" w:space="0" w:color="auto"/>
      </w:divBdr>
    </w:div>
    <w:div w:id="1404447245">
      <w:bodyDiv w:val="1"/>
      <w:marLeft w:val="0"/>
      <w:marRight w:val="0"/>
      <w:marTop w:val="0"/>
      <w:marBottom w:val="0"/>
      <w:divBdr>
        <w:top w:val="none" w:sz="0" w:space="0" w:color="auto"/>
        <w:left w:val="none" w:sz="0" w:space="0" w:color="auto"/>
        <w:bottom w:val="none" w:sz="0" w:space="0" w:color="auto"/>
        <w:right w:val="none" w:sz="0" w:space="0" w:color="auto"/>
      </w:divBdr>
    </w:div>
    <w:div w:id="1426729515">
      <w:bodyDiv w:val="1"/>
      <w:marLeft w:val="0"/>
      <w:marRight w:val="0"/>
      <w:marTop w:val="0"/>
      <w:marBottom w:val="0"/>
      <w:divBdr>
        <w:top w:val="none" w:sz="0" w:space="0" w:color="auto"/>
        <w:left w:val="none" w:sz="0" w:space="0" w:color="auto"/>
        <w:bottom w:val="none" w:sz="0" w:space="0" w:color="auto"/>
        <w:right w:val="none" w:sz="0" w:space="0" w:color="auto"/>
      </w:divBdr>
    </w:div>
    <w:div w:id="1432582163">
      <w:bodyDiv w:val="1"/>
      <w:marLeft w:val="0"/>
      <w:marRight w:val="0"/>
      <w:marTop w:val="0"/>
      <w:marBottom w:val="0"/>
      <w:divBdr>
        <w:top w:val="none" w:sz="0" w:space="0" w:color="auto"/>
        <w:left w:val="none" w:sz="0" w:space="0" w:color="auto"/>
        <w:bottom w:val="none" w:sz="0" w:space="0" w:color="auto"/>
        <w:right w:val="none" w:sz="0" w:space="0" w:color="auto"/>
      </w:divBdr>
    </w:div>
    <w:div w:id="1437217071">
      <w:bodyDiv w:val="1"/>
      <w:marLeft w:val="0"/>
      <w:marRight w:val="0"/>
      <w:marTop w:val="0"/>
      <w:marBottom w:val="0"/>
      <w:divBdr>
        <w:top w:val="none" w:sz="0" w:space="0" w:color="auto"/>
        <w:left w:val="none" w:sz="0" w:space="0" w:color="auto"/>
        <w:bottom w:val="none" w:sz="0" w:space="0" w:color="auto"/>
        <w:right w:val="none" w:sz="0" w:space="0" w:color="auto"/>
      </w:divBdr>
    </w:div>
    <w:div w:id="1502425338">
      <w:bodyDiv w:val="1"/>
      <w:marLeft w:val="0"/>
      <w:marRight w:val="0"/>
      <w:marTop w:val="0"/>
      <w:marBottom w:val="0"/>
      <w:divBdr>
        <w:top w:val="none" w:sz="0" w:space="0" w:color="auto"/>
        <w:left w:val="none" w:sz="0" w:space="0" w:color="auto"/>
        <w:bottom w:val="none" w:sz="0" w:space="0" w:color="auto"/>
        <w:right w:val="none" w:sz="0" w:space="0" w:color="auto"/>
      </w:divBdr>
    </w:div>
    <w:div w:id="1561360476">
      <w:bodyDiv w:val="1"/>
      <w:marLeft w:val="0"/>
      <w:marRight w:val="0"/>
      <w:marTop w:val="0"/>
      <w:marBottom w:val="0"/>
      <w:divBdr>
        <w:top w:val="none" w:sz="0" w:space="0" w:color="auto"/>
        <w:left w:val="none" w:sz="0" w:space="0" w:color="auto"/>
        <w:bottom w:val="none" w:sz="0" w:space="0" w:color="auto"/>
        <w:right w:val="none" w:sz="0" w:space="0" w:color="auto"/>
      </w:divBdr>
    </w:div>
    <w:div w:id="1580749587">
      <w:bodyDiv w:val="1"/>
      <w:marLeft w:val="0"/>
      <w:marRight w:val="0"/>
      <w:marTop w:val="0"/>
      <w:marBottom w:val="0"/>
      <w:divBdr>
        <w:top w:val="none" w:sz="0" w:space="0" w:color="auto"/>
        <w:left w:val="none" w:sz="0" w:space="0" w:color="auto"/>
        <w:bottom w:val="none" w:sz="0" w:space="0" w:color="auto"/>
        <w:right w:val="none" w:sz="0" w:space="0" w:color="auto"/>
      </w:divBdr>
    </w:div>
    <w:div w:id="1657800058">
      <w:bodyDiv w:val="1"/>
      <w:marLeft w:val="0"/>
      <w:marRight w:val="0"/>
      <w:marTop w:val="0"/>
      <w:marBottom w:val="0"/>
      <w:divBdr>
        <w:top w:val="none" w:sz="0" w:space="0" w:color="auto"/>
        <w:left w:val="none" w:sz="0" w:space="0" w:color="auto"/>
        <w:bottom w:val="none" w:sz="0" w:space="0" w:color="auto"/>
        <w:right w:val="none" w:sz="0" w:space="0" w:color="auto"/>
      </w:divBdr>
    </w:div>
    <w:div w:id="1686596759">
      <w:bodyDiv w:val="1"/>
      <w:marLeft w:val="0"/>
      <w:marRight w:val="0"/>
      <w:marTop w:val="0"/>
      <w:marBottom w:val="0"/>
      <w:divBdr>
        <w:top w:val="none" w:sz="0" w:space="0" w:color="auto"/>
        <w:left w:val="none" w:sz="0" w:space="0" w:color="auto"/>
        <w:bottom w:val="none" w:sz="0" w:space="0" w:color="auto"/>
        <w:right w:val="none" w:sz="0" w:space="0" w:color="auto"/>
      </w:divBdr>
    </w:div>
    <w:div w:id="1871723071">
      <w:bodyDiv w:val="1"/>
      <w:marLeft w:val="0"/>
      <w:marRight w:val="0"/>
      <w:marTop w:val="0"/>
      <w:marBottom w:val="0"/>
      <w:divBdr>
        <w:top w:val="none" w:sz="0" w:space="0" w:color="auto"/>
        <w:left w:val="none" w:sz="0" w:space="0" w:color="auto"/>
        <w:bottom w:val="none" w:sz="0" w:space="0" w:color="auto"/>
        <w:right w:val="none" w:sz="0" w:space="0" w:color="auto"/>
      </w:divBdr>
    </w:div>
    <w:div w:id="2004579315">
      <w:bodyDiv w:val="1"/>
      <w:marLeft w:val="0"/>
      <w:marRight w:val="0"/>
      <w:marTop w:val="0"/>
      <w:marBottom w:val="0"/>
      <w:divBdr>
        <w:top w:val="none" w:sz="0" w:space="0" w:color="auto"/>
        <w:left w:val="none" w:sz="0" w:space="0" w:color="auto"/>
        <w:bottom w:val="none" w:sz="0" w:space="0" w:color="auto"/>
        <w:right w:val="none" w:sz="0" w:space="0" w:color="auto"/>
      </w:divBdr>
    </w:div>
    <w:div w:id="2007393308">
      <w:bodyDiv w:val="1"/>
      <w:marLeft w:val="0"/>
      <w:marRight w:val="0"/>
      <w:marTop w:val="0"/>
      <w:marBottom w:val="0"/>
      <w:divBdr>
        <w:top w:val="none" w:sz="0" w:space="0" w:color="auto"/>
        <w:left w:val="none" w:sz="0" w:space="0" w:color="auto"/>
        <w:bottom w:val="none" w:sz="0" w:space="0" w:color="auto"/>
        <w:right w:val="none" w:sz="0" w:space="0" w:color="auto"/>
      </w:divBdr>
    </w:div>
    <w:div w:id="20469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8/03/responsibility-prescribing-between-primary-secondary-care-v2.pdf" TargetMode="External"/><Relationship Id="rId13" Type="http://schemas.openxmlformats.org/officeDocument/2006/relationships/hyperlink" Target="https://gmmmg.nhs.uk/shared-care/gmmmg-approved-shared-care-protoco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mmmg.nhs.uk/shared-care/gmmmg-approved-shared-care-protocols/" TargetMode="External"/><Relationship Id="rId17" Type="http://schemas.openxmlformats.org/officeDocument/2006/relationships/hyperlink" Target="https://gmmmg.nhs.uk/shared-care/gmmmg-approved-shared-care-protoc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mmmg.nhs.uk/shared-care/gmmmg-approved-shared-care-protoc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mmg.nhs.uk/shared-care/gmmmg-approved-shared-care-protoco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mmmg.nhs.uk/shared-care/gmmmg-approved-shared-care-protocols/" TargetMode="External"/><Relationship Id="rId23" Type="http://schemas.openxmlformats.org/officeDocument/2006/relationships/footer" Target="footer3.xml"/><Relationship Id="rId10" Type="http://schemas.openxmlformats.org/officeDocument/2006/relationships/hyperlink" Target="https://gmmmg.nhs.uk/wp-content/uploads/2021/09/GMMMG-Guidance-on-Transfer-of-Prescribing-Responsibilities-FINAL-web.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mmmg.nhs.uk/" TargetMode="External"/><Relationship Id="rId14" Type="http://schemas.openxmlformats.org/officeDocument/2006/relationships/hyperlink" Target="https://gmmmg.nhs.uk/wp-content/uploads/2021/09/GMMMG-Guidance-on-Transfer-of-Prescribing-Responsibilities-FINAL-web.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CF23-063A-4A2D-B300-DD141FF8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Lara (NHS GREATER MANCHESTER ICB - 14L)</dc:creator>
  <cp:keywords/>
  <dc:description/>
  <cp:lastModifiedBy>joe chattin</cp:lastModifiedBy>
  <cp:revision>1</cp:revision>
  <dcterms:created xsi:type="dcterms:W3CDTF">2025-05-28T08:46:00Z</dcterms:created>
  <dcterms:modified xsi:type="dcterms:W3CDTF">2025-05-28T08:46:00Z</dcterms:modified>
</cp:coreProperties>
</file>