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0E4D" w14:textId="276B6169" w:rsidR="00A042FB" w:rsidRPr="0000042B" w:rsidRDefault="0000042B">
      <w:pPr>
        <w:rPr>
          <w:b/>
          <w:bCs/>
          <w:sz w:val="24"/>
          <w:szCs w:val="24"/>
          <w:u w:val="single"/>
        </w:rPr>
      </w:pPr>
      <w:r w:rsidRPr="0000042B">
        <w:rPr>
          <w:b/>
          <w:bCs/>
          <w:sz w:val="24"/>
          <w:szCs w:val="24"/>
          <w:u w:val="single"/>
        </w:rPr>
        <w:t xml:space="preserve">Wigan LMC  supplementary update bulletin  </w:t>
      </w:r>
    </w:p>
    <w:p w14:paraId="5490BEB6" w14:textId="24DCF364" w:rsidR="00A042FB" w:rsidRPr="00BF080E" w:rsidRDefault="00BF080E">
      <w:pPr>
        <w:rPr>
          <w:b/>
          <w:bCs/>
          <w:sz w:val="24"/>
          <w:szCs w:val="24"/>
          <w:u w:val="single"/>
        </w:rPr>
      </w:pPr>
      <w:r>
        <w:rPr>
          <w:b/>
          <w:bCs/>
          <w:sz w:val="24"/>
          <w:szCs w:val="24"/>
          <w:u w:val="single"/>
        </w:rPr>
        <w:t>Latest -</w:t>
      </w:r>
      <w:r w:rsidR="00A042FB" w:rsidRPr="00BF080E">
        <w:rPr>
          <w:b/>
          <w:bCs/>
          <w:sz w:val="24"/>
          <w:szCs w:val="24"/>
          <w:u w:val="single"/>
        </w:rPr>
        <w:t xml:space="preserve">Online access to patient records – NHS Digital and automatic switch on- </w:t>
      </w:r>
    </w:p>
    <w:p w14:paraId="0588ED24" w14:textId="6C460FFA" w:rsidR="00A042FB" w:rsidRDefault="00A042FB">
      <w:r>
        <w:t>In response to the declarations made by EMIS and TPP on 30 October 2022 and doubtless following the announcement  by the Secretary of State in the House of Commons yesterday that online access would be enabled, NHS Digital has issued a further statement.</w:t>
      </w:r>
    </w:p>
    <w:p w14:paraId="56DFDA96" w14:textId="7082BA12" w:rsidR="00A042FB" w:rsidRDefault="00A042FB">
      <w:r>
        <w:t>The approach to automatic switch on is now to do so  for those practices which have not notified EMIS or TPP that the switch on should be paused.-</w:t>
      </w:r>
    </w:p>
    <w:p w14:paraId="32717C68" w14:textId="12943856" w:rsidR="00A042FB" w:rsidRPr="00A042FB" w:rsidRDefault="00A042FB" w:rsidP="00A042FB">
      <w:pPr>
        <w:pStyle w:val="nhsd-t-body"/>
        <w:shd w:val="clear" w:color="auto" w:fill="FFFFFF"/>
        <w:ind w:left="720"/>
        <w:rPr>
          <w:rFonts w:asciiTheme="minorHAnsi" w:hAnsiTheme="minorHAnsi" w:cs="Arial"/>
          <w:color w:val="3F525F"/>
        </w:rPr>
      </w:pPr>
      <w:r>
        <w:rPr>
          <w:rStyle w:val="Strong"/>
          <w:rFonts w:asciiTheme="minorHAnsi" w:hAnsiTheme="minorHAnsi" w:cs="Arial"/>
          <w:color w:val="3F525F"/>
        </w:rPr>
        <w:t>“</w:t>
      </w:r>
      <w:r w:rsidRPr="00A042FB">
        <w:rPr>
          <w:rStyle w:val="Strong"/>
          <w:rFonts w:asciiTheme="minorHAnsi" w:hAnsiTheme="minorHAnsi" w:cs="Arial"/>
          <w:color w:val="3F525F"/>
        </w:rPr>
        <w:t>For those practices that ask EMIS and TPP by 5pm on 4 November 2022 to not enable the change, we have instructed both suppliers to pause.</w:t>
      </w:r>
    </w:p>
    <w:p w14:paraId="46BE61C5" w14:textId="77777777" w:rsidR="00A042FB" w:rsidRPr="00A042FB" w:rsidRDefault="00A042FB" w:rsidP="00A042FB">
      <w:pPr>
        <w:pStyle w:val="nhsd-t-body"/>
        <w:shd w:val="clear" w:color="auto" w:fill="FFFFFF"/>
        <w:ind w:left="720"/>
        <w:rPr>
          <w:rFonts w:asciiTheme="minorHAnsi" w:hAnsiTheme="minorHAnsi" w:cs="Arial"/>
          <w:color w:val="3F525F"/>
        </w:rPr>
      </w:pPr>
      <w:r w:rsidRPr="00A042FB">
        <w:rPr>
          <w:rFonts w:asciiTheme="minorHAnsi" w:hAnsiTheme="minorHAnsi" w:cs="Arial"/>
          <w:color w:val="3F525F"/>
        </w:rPr>
        <w:t>These practices must use this time to engage with their local commissioners should they need additional support and agree plans to prepare before their systems are </w:t>
      </w:r>
      <w:r w:rsidRPr="00A042FB">
        <w:rPr>
          <w:rStyle w:val="Strong"/>
          <w:rFonts w:asciiTheme="minorHAnsi" w:hAnsiTheme="minorHAnsi" w:cs="Arial"/>
          <w:color w:val="3F525F"/>
        </w:rPr>
        <w:t>automatically enabled from 30 November 2022</w:t>
      </w:r>
      <w:r w:rsidRPr="00A042FB">
        <w:rPr>
          <w:rFonts w:asciiTheme="minorHAnsi" w:hAnsiTheme="minorHAnsi" w:cs="Arial"/>
          <w:color w:val="3F525F"/>
        </w:rPr>
        <w:t>. The </w:t>
      </w:r>
      <w:hyperlink r:id="rId4" w:history="1">
        <w:r w:rsidRPr="00A042FB">
          <w:rPr>
            <w:rStyle w:val="Hyperlink"/>
            <w:rFonts w:asciiTheme="minorHAnsi" w:hAnsiTheme="minorHAnsi" w:cs="Arial"/>
            <w:color w:val="005BBB"/>
            <w:bdr w:val="none" w:sz="0" w:space="0" w:color="auto" w:frame="1"/>
          </w:rPr>
          <w:t>general practice readiness checklist</w:t>
        </w:r>
      </w:hyperlink>
      <w:r w:rsidRPr="00A042FB">
        <w:rPr>
          <w:rFonts w:asciiTheme="minorHAnsi" w:hAnsiTheme="minorHAnsi" w:cs="Arial"/>
          <w:color w:val="3F525F"/>
        </w:rPr>
        <w:t> should be used to help with preparations.</w:t>
      </w:r>
    </w:p>
    <w:p w14:paraId="10B9A10E" w14:textId="181F5EF9" w:rsidR="00A042FB" w:rsidRDefault="00A042FB" w:rsidP="00A042FB">
      <w:pPr>
        <w:pStyle w:val="nhsd-t-body"/>
        <w:shd w:val="clear" w:color="auto" w:fill="FFFFFF"/>
        <w:spacing w:before="0" w:beforeAutospacing="0" w:after="0" w:afterAutospacing="0"/>
        <w:ind w:left="720"/>
        <w:rPr>
          <w:rFonts w:ascii="Arial" w:hAnsi="Arial" w:cs="Arial"/>
          <w:color w:val="3F525F"/>
          <w:sz w:val="27"/>
          <w:szCs w:val="27"/>
        </w:rPr>
      </w:pPr>
      <w:r w:rsidRPr="00A042FB">
        <w:rPr>
          <w:rStyle w:val="Strong"/>
          <w:rFonts w:asciiTheme="minorHAnsi" w:hAnsiTheme="minorHAnsi" w:cs="Arial"/>
          <w:color w:val="3F525F"/>
        </w:rPr>
        <w:t>For all other practices that will not have informed EMIS and TPP to pause by 5pm on 4 November we will continue to work with EMIS and TPP to implement the change as planned, with prospective data entered into patient records from 1 November 2022 automatically becoming visible in a phased way</w:t>
      </w:r>
      <w:r>
        <w:rPr>
          <w:rStyle w:val="Strong"/>
          <w:rFonts w:ascii="Arial" w:hAnsi="Arial" w:cs="Arial"/>
          <w:color w:val="3F525F"/>
          <w:sz w:val="27"/>
          <w:szCs w:val="27"/>
        </w:rPr>
        <w:t>.  “</w:t>
      </w:r>
    </w:p>
    <w:p w14:paraId="62293B13" w14:textId="77777777" w:rsidR="00A042FB" w:rsidRDefault="00A042FB"/>
    <w:p w14:paraId="557081BA" w14:textId="3D768F6D" w:rsidR="00861EED" w:rsidRDefault="003E06ED">
      <w:hyperlink r:id="rId5" w:history="1">
        <w:r w:rsidR="00A042FB">
          <w:rPr>
            <w:rStyle w:val="Hyperlink"/>
          </w:rPr>
          <w:t>An update from NHS England on Accelerating Citizen Access to GP Data (1 November 2022) - NHS Digital</w:t>
        </w:r>
      </w:hyperlink>
    </w:p>
    <w:p w14:paraId="17EAEECB" w14:textId="32B61616" w:rsidR="00BF080E" w:rsidRDefault="00BF080E">
      <w:r>
        <w:t>Practices which are unready to deliver online access safely and which wish to pause the switch on  but  have not already instructed EMIS or TPP to do so,  should use the template letter  and email address to issue the instruction. These are here for ease –</w:t>
      </w:r>
    </w:p>
    <w:p w14:paraId="1D3BA61C" w14:textId="0E7A069D" w:rsidR="00EE628A" w:rsidRDefault="003E06ED">
      <w:r>
        <w:rPr>
          <w:noProof/>
        </w:rPr>
        <w:object w:dxaOrig="1440" w:dyaOrig="1440" w14:anchorId="1AA9B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5pt;margin-top:11.65pt;width:75pt;height:49pt;z-index:251659264;mso-position-horizontal-relative:text;mso-position-vertical-relative:text">
            <v:imagedata r:id="rId6" o:title=""/>
            <w10:wrap type="square" side="right"/>
          </v:shape>
          <o:OLEObject Type="Embed" ProgID="Word.Document.12" ShapeID="_x0000_s1027" DrawAspect="Icon" ObjectID="_1728913581" r:id="rId7">
            <o:FieldCodes>\s</o:FieldCodes>
          </o:OLEObject>
        </w:object>
      </w:r>
    </w:p>
    <w:p w14:paraId="1A243EA0" w14:textId="19A97B7D" w:rsidR="00EE628A" w:rsidRDefault="00DE5878">
      <w:pPr>
        <w:rPr>
          <w:rFonts w:cs="Calibri"/>
          <w:color w:val="000000"/>
          <w:sz w:val="23"/>
          <w:szCs w:val="23"/>
        </w:rPr>
      </w:pPr>
      <w:r>
        <w:t xml:space="preserve">                            </w:t>
      </w:r>
      <w:hyperlink r:id="rId8" w:history="1">
        <w:r w:rsidRPr="00DE5878">
          <w:rPr>
            <w:rFonts w:cs="Calibri"/>
            <w:color w:val="0000FF"/>
            <w:sz w:val="23"/>
            <w:szCs w:val="23"/>
            <w:u w:val="single"/>
          </w:rPr>
          <w:t>recordaccess@tpp-uk.com</w:t>
        </w:r>
      </w:hyperlink>
      <w:r w:rsidRPr="00DE5878">
        <w:rPr>
          <w:rFonts w:cs="Calibri"/>
          <w:color w:val="000000"/>
          <w:sz w:val="23"/>
          <w:szCs w:val="23"/>
        </w:rPr>
        <w:t xml:space="preserve">   </w:t>
      </w:r>
      <w:r>
        <w:rPr>
          <w:rFonts w:cs="Calibri"/>
          <w:color w:val="000000"/>
          <w:sz w:val="23"/>
          <w:szCs w:val="23"/>
        </w:rPr>
        <w:t xml:space="preserve">             </w:t>
      </w:r>
    </w:p>
    <w:p w14:paraId="4FBB8BDC" w14:textId="77777777" w:rsidR="00DE5878" w:rsidRDefault="00DE5878" w:rsidP="00DE5878">
      <w:r>
        <w:rPr>
          <w:rFonts w:cs="Calibri"/>
          <w:color w:val="000000"/>
          <w:sz w:val="23"/>
          <w:szCs w:val="23"/>
        </w:rPr>
        <w:t xml:space="preserve">                                                                              </w:t>
      </w:r>
      <w:hyperlink r:id="rId9" w:history="1">
        <w:r w:rsidRPr="00DE5878">
          <w:rPr>
            <w:rFonts w:cs="Calibri"/>
            <w:color w:val="0000FF"/>
            <w:sz w:val="23"/>
            <w:szCs w:val="23"/>
            <w:u w:val="single"/>
          </w:rPr>
          <w:t>aapostpone@emishealth.com</w:t>
        </w:r>
      </w:hyperlink>
      <w:r>
        <w:rPr>
          <w:rFonts w:cs="Calibri"/>
          <w:color w:val="000000"/>
          <w:sz w:val="23"/>
          <w:szCs w:val="23"/>
        </w:rPr>
        <w:t xml:space="preserve">   </w:t>
      </w:r>
    </w:p>
    <w:p w14:paraId="4B0EA8F1" w14:textId="77777777" w:rsidR="00EE628A" w:rsidRDefault="00EE628A"/>
    <w:p w14:paraId="336507E2" w14:textId="754756F7" w:rsidR="00BF080E" w:rsidRDefault="00BF080E">
      <w:r>
        <w:t>Practices which are ready to go can</w:t>
      </w:r>
      <w:r w:rsidR="00DE5878">
        <w:t xml:space="preserve"> simply </w:t>
      </w:r>
      <w:r>
        <w:t xml:space="preserve"> await the switch on.</w:t>
      </w:r>
    </w:p>
    <w:p w14:paraId="19FFC1EF" w14:textId="797356E0" w:rsidR="00BF080E" w:rsidRDefault="00BF080E">
      <w:r>
        <w:t>The BMA has issue</w:t>
      </w:r>
      <w:r w:rsidR="00EE628A">
        <w:t>d a statement- it</w:t>
      </w:r>
      <w:r w:rsidR="00DE5878">
        <w:t>’</w:t>
      </w:r>
      <w:r w:rsidR="00EE628A">
        <w:t>s here-</w:t>
      </w:r>
    </w:p>
    <w:p w14:paraId="0221A790" w14:textId="5D614898" w:rsidR="00EE628A" w:rsidRDefault="003E06ED">
      <w:hyperlink r:id="rId10" w:history="1">
        <w:r w:rsidR="00EE628A">
          <w:rPr>
            <w:rStyle w:val="Hyperlink"/>
          </w:rPr>
          <w:t>Urgent clarity needed on constantly changing Citizens’ Access patient data programme, says BMA - BMA media centre - BMA</w:t>
        </w:r>
      </w:hyperlink>
    </w:p>
    <w:p w14:paraId="62FEBFB2" w14:textId="090E940F" w:rsidR="00EE628A" w:rsidRDefault="00EE628A">
      <w:r>
        <w:t>EMIS has also posted a notice confirming the position- it’s here</w:t>
      </w:r>
    </w:p>
    <w:p w14:paraId="6E2A02C5" w14:textId="2DC17FD0" w:rsidR="00EE628A" w:rsidRDefault="00EE628A">
      <w:r>
        <w:object w:dxaOrig="1500" w:dyaOrig="982" w14:anchorId="6F088451">
          <v:shape id="_x0000_i1026" type="#_x0000_t75" style="width:75pt;height:49pt" o:ole="">
            <v:imagedata r:id="rId11" o:title=""/>
          </v:shape>
          <o:OLEObject Type="Embed" ProgID="Package" ShapeID="_x0000_i1026" DrawAspect="Icon" ObjectID="_1728913580" r:id="rId12"/>
        </w:object>
      </w:r>
    </w:p>
    <w:p w14:paraId="73511BF6" w14:textId="088C6017" w:rsidR="000B2B89" w:rsidRPr="000B2B89" w:rsidRDefault="000B2B89">
      <w:pPr>
        <w:rPr>
          <w:u w:val="single"/>
        </w:rPr>
      </w:pPr>
      <w:r>
        <w:rPr>
          <w:u w:val="single"/>
        </w:rPr>
        <w:t>…………………………………………………………………………………………………………………………………………………………</w:t>
      </w:r>
    </w:p>
    <w:sectPr w:rsidR="000B2B89" w:rsidRPr="000B2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FB"/>
    <w:rsid w:val="0000042B"/>
    <w:rsid w:val="000B2B89"/>
    <w:rsid w:val="0033308E"/>
    <w:rsid w:val="0037539E"/>
    <w:rsid w:val="003E06ED"/>
    <w:rsid w:val="00417E94"/>
    <w:rsid w:val="00521201"/>
    <w:rsid w:val="00566489"/>
    <w:rsid w:val="007655D6"/>
    <w:rsid w:val="00A042FB"/>
    <w:rsid w:val="00BA7AF0"/>
    <w:rsid w:val="00BF080E"/>
    <w:rsid w:val="00D37152"/>
    <w:rsid w:val="00DE5878"/>
    <w:rsid w:val="00EE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009CFF"/>
  <w15:chartTrackingRefBased/>
  <w15:docId w15:val="{545D3F4D-9043-4511-9AD0-FF238ACF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42FB"/>
    <w:rPr>
      <w:color w:val="0000FF"/>
      <w:u w:val="single"/>
    </w:rPr>
  </w:style>
  <w:style w:type="paragraph" w:customStyle="1" w:styleId="nhsd-t-body">
    <w:name w:val="nhsd-t-body"/>
    <w:basedOn w:val="Normal"/>
    <w:rsid w:val="00A042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4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access@tpp-uk.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12"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emf"/><Relationship Id="rId5" Type="http://schemas.openxmlformats.org/officeDocument/2006/relationships/hyperlink" Target="https://digital.nhs.uk/services/nhs-app/nhs-app-guidance-for-gp-practices/guidance-on-nhs-app-features/accelerating-patient-access-to-their-record/update-from-nhs-england" TargetMode="External"/><Relationship Id="rId10" Type="http://schemas.openxmlformats.org/officeDocument/2006/relationships/hyperlink" Target="https://www.bma.org.uk/bma-media-centre/urgent-clarity-needed-on-constantly-changing-citizens-access-patient-data-programme-says-bma" TargetMode="External"/><Relationship Id="rId4" Type="http://schemas.openxmlformats.org/officeDocument/2006/relationships/hyperlink" Target="https://digital.nhs.uk/services/nhs-app/nhs-app-guidance-for-gp-practices/guidance-on-nhs-app-features/accelerating-patient-access-to-their-record/gp-practice-readiness-checklist" TargetMode="External"/><Relationship Id="rId9" Type="http://schemas.openxmlformats.org/officeDocument/2006/relationships/hyperlink" Target="mailto:aapostpone@emishealt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Sefton LMC</dc:creator>
  <cp:keywords/>
  <dc:description/>
  <cp:lastModifiedBy>Sefton LMC</cp:lastModifiedBy>
  <cp:revision>4</cp:revision>
  <dcterms:created xsi:type="dcterms:W3CDTF">2022-11-02T08:03:00Z</dcterms:created>
  <dcterms:modified xsi:type="dcterms:W3CDTF">2022-11-02T17:00:00Z</dcterms:modified>
</cp:coreProperties>
</file>